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40"/>
      </w:pPr>
      <w:r>
        <w:t xml:space="preserve"/>
      </w:r>
    </w:p>
    <w:p>
      <w:r>
        <w:rPr>
          <w:rFonts w:ascii="Calibri" w:cs="Calibri" w:eastAsia="Calibri" w:hAnsi="Calibri"/>
          <w:b/>
          <w:bCs/>
          <w:caps/>
          <w:color w:val="7A6B62"/>
          <w:sz w:val="17"/>
          <w:szCs w:val="17"/>
        </w:rPr>
        <w:t xml:space="preserve">FREE GROUNDING TOOL</w:t>
      </w:r>
    </w:p>
    <w:p>
      <w:pPr>
        <w:spacing w:after="0" w:before="16"/>
      </w:pPr>
      <w:r>
        <w:rPr>
          <w:rFonts w:ascii="Georgia" w:cs="Georgia" w:eastAsia="Georgia" w:hAnsi="Georgia"/>
          <w:b/>
          <w:bCs/>
          <w:color w:val="B85C3C"/>
          <w:sz w:val="44"/>
          <w:szCs w:val="44"/>
        </w:rPr>
        <w:t xml:space="preserve">Come Back to Now</w:t>
      </w:r>
    </w:p>
    <w:p>
      <w:pPr>
        <w:spacing w:after="90" w:before="0"/>
      </w:pPr>
      <w:r>
        <w:rPr>
          <w:rFonts w:ascii="Calibri" w:cs="Calibri" w:eastAsia="Calibri" w:hAnsi="Calibri"/>
          <w:i/>
          <w:iCs/>
          <w:color w:val="7A6B62"/>
          <w:sz w:val="20"/>
          <w:szCs w:val="20"/>
        </w:rPr>
        <w:t xml:space="preserve">A grounding card for when a trauma trigger pulls you into the past — use it anytime, anywhere</w:t>
      </w:r>
    </w:p>
    <w:p>
      <w:pPr>
        <w:spacing w:after="50" w:before="50"/>
        <w:jc w:val="left"/>
      </w:pPr>
      <w:r>
        <w:rPr>
          <w:rFonts w:ascii="Calibri" w:cs="Calibri" w:eastAsia="Calibri" w:hAnsi="Calibri"/>
          <w:b w:val="false"/>
          <w:bCs w:val="false"/>
          <w:i w:val="false"/>
          <w:iCs w:val="false"/>
          <w:color w:val="3D332E"/>
          <w:sz w:val="21"/>
          <w:szCs w:val="21"/>
        </w:rPr>
        <w:t xml:space="preserve">When something triggers you, part of your brain reacts as if the danger is happening now — even though you are safe. Grounding interrupts that by anchoring you in the present, where your senses are. Keep this card on your phone or in your pocket. When you feel it rising, work through the steps slowly. You don’t have to do all of them — just start.</w:t>
      </w:r>
    </w:p>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c>
          <w:tcPr>
            <w:tcW w:type="dxa" w:w="90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vAlign w:val="center"/>
          </w:tcPr>
          <w:p>
            <w:pPr>
              <w:jc w:val="center"/>
            </w:pPr>
            <w:r>
              <w:rPr>
                <w:rFonts w:ascii="Georgia" w:cs="Georgia" w:eastAsia="Georgia" w:hAnsi="Georgia"/>
                <w:b/>
                <w:bCs/>
                <w:color w:val="FFFFFF"/>
                <w:sz w:val="30"/>
                <w:szCs w:val="30"/>
              </w:rPr>
              <w:t xml:space="preserve">5</w:t>
            </w:r>
          </w:p>
        </w:tc>
        <w:tc>
          <w:tcPr>
            <w:tcW w:type="dxa" w:w="8460"/>
            <w:tcBorders>
              <w:top w:val="single" w:color="E8D9CD" w:sz="4"/>
              <w:left w:val="single" w:color="E8D9CD" w:sz="4"/>
              <w:bottom w:val="single" w:color="E8D9CD" w:sz="4"/>
              <w:right w:val="single" w:color="E8D9CD" w:sz="4"/>
            </w:tcBorders>
            <w:shd w:fill="FDF8F2" w:val="clear"/>
            <w:tcMar>
              <w:top w:type="dxa" w:w="80"/>
              <w:left w:type="dxa" w:w="160"/>
              <w:bottom w:type="dxa" w:w="80"/>
              <w:right w:type="dxa" w:w="160"/>
            </w:tcMar>
          </w:tcPr>
          <w:p>
            <w:pPr>
              <w:spacing w:after="22" w:before="0"/>
            </w:pPr>
            <w:r>
              <w:rPr>
                <w:rFonts w:ascii="Calibri" w:cs="Calibri" w:eastAsia="Calibri" w:hAnsi="Calibri"/>
                <w:b/>
                <w:bCs/>
                <w:color w:val="8C4530"/>
                <w:sz w:val="21"/>
                <w:szCs w:val="21"/>
              </w:rPr>
              <w:t xml:space="preserve">Look — name 5 things you can SEE</w:t>
            </w:r>
          </w:p>
          <w:p>
            <w:r>
              <w:rPr>
                <w:rFonts w:ascii="Calibri" w:cs="Calibri" w:eastAsia="Calibri" w:hAnsi="Calibri"/>
                <w:color w:val="3D332E"/>
                <w:sz w:val="20"/>
                <w:szCs w:val="20"/>
              </w:rPr>
              <w:t xml:space="preserve">Say them to yourself, one at a time. Really look at each one — its color, shape, edges.</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c>
          <w:tcPr>
            <w:tcW w:type="dxa" w:w="90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vAlign w:val="center"/>
          </w:tcPr>
          <w:p>
            <w:pPr>
              <w:jc w:val="center"/>
            </w:pPr>
            <w:r>
              <w:rPr>
                <w:rFonts w:ascii="Georgia" w:cs="Georgia" w:eastAsia="Georgia" w:hAnsi="Georgia"/>
                <w:b/>
                <w:bCs/>
                <w:color w:val="FFFFFF"/>
                <w:sz w:val="30"/>
                <w:szCs w:val="30"/>
              </w:rPr>
              <w:t xml:space="preserve">4</w:t>
            </w:r>
          </w:p>
        </w:tc>
        <w:tc>
          <w:tcPr>
            <w:tcW w:type="dxa" w:w="8460"/>
            <w:tcBorders>
              <w:top w:val="single" w:color="E8D9CD" w:sz="4"/>
              <w:left w:val="single" w:color="E8D9CD" w:sz="4"/>
              <w:bottom w:val="single" w:color="E8D9CD" w:sz="4"/>
              <w:right w:val="single" w:color="E8D9CD" w:sz="4"/>
            </w:tcBorders>
            <w:shd w:fill="FDF8F2" w:val="clear"/>
            <w:tcMar>
              <w:top w:type="dxa" w:w="80"/>
              <w:left w:type="dxa" w:w="160"/>
              <w:bottom w:type="dxa" w:w="80"/>
              <w:right w:type="dxa" w:w="160"/>
            </w:tcMar>
          </w:tcPr>
          <w:p>
            <w:pPr>
              <w:spacing w:after="22" w:before="0"/>
            </w:pPr>
            <w:r>
              <w:rPr>
                <w:rFonts w:ascii="Calibri" w:cs="Calibri" w:eastAsia="Calibri" w:hAnsi="Calibri"/>
                <w:b/>
                <w:bCs/>
                <w:color w:val="8C4530"/>
                <w:sz w:val="21"/>
                <w:szCs w:val="21"/>
              </w:rPr>
              <w:t xml:space="preserve">Feel — name 4 things you can TOUCH</w:t>
            </w:r>
          </w:p>
          <w:p>
            <w:r>
              <w:rPr>
                <w:rFonts w:ascii="Calibri" w:cs="Calibri" w:eastAsia="Calibri" w:hAnsi="Calibri"/>
                <w:color w:val="3D332E"/>
                <w:sz w:val="20"/>
                <w:szCs w:val="20"/>
              </w:rPr>
              <w:t xml:space="preserve">Your feet on the floor. The chair. Your own hands. Press into something solid and feel it hold you.</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c>
          <w:tcPr>
            <w:tcW w:type="dxa" w:w="90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vAlign w:val="center"/>
          </w:tcPr>
          <w:p>
            <w:pPr>
              <w:jc w:val="center"/>
            </w:pPr>
            <w:r>
              <w:rPr>
                <w:rFonts w:ascii="Georgia" w:cs="Georgia" w:eastAsia="Georgia" w:hAnsi="Georgia"/>
                <w:b/>
                <w:bCs/>
                <w:color w:val="FFFFFF"/>
                <w:sz w:val="30"/>
                <w:szCs w:val="30"/>
              </w:rPr>
              <w:t xml:space="preserve">3</w:t>
            </w:r>
          </w:p>
        </w:tc>
        <w:tc>
          <w:tcPr>
            <w:tcW w:type="dxa" w:w="8460"/>
            <w:tcBorders>
              <w:top w:val="single" w:color="E8D9CD" w:sz="4"/>
              <w:left w:val="single" w:color="E8D9CD" w:sz="4"/>
              <w:bottom w:val="single" w:color="E8D9CD" w:sz="4"/>
              <w:right w:val="single" w:color="E8D9CD" w:sz="4"/>
            </w:tcBorders>
            <w:shd w:fill="FDF8F2" w:val="clear"/>
            <w:tcMar>
              <w:top w:type="dxa" w:w="80"/>
              <w:left w:type="dxa" w:w="160"/>
              <w:bottom w:type="dxa" w:w="80"/>
              <w:right w:type="dxa" w:w="160"/>
            </w:tcMar>
          </w:tcPr>
          <w:p>
            <w:pPr>
              <w:spacing w:after="22" w:before="0"/>
            </w:pPr>
            <w:r>
              <w:rPr>
                <w:rFonts w:ascii="Calibri" w:cs="Calibri" w:eastAsia="Calibri" w:hAnsi="Calibri"/>
                <w:b/>
                <w:bCs/>
                <w:color w:val="8C4530"/>
                <w:sz w:val="21"/>
                <w:szCs w:val="21"/>
              </w:rPr>
              <w:t xml:space="preserve">Listen — name 3 things you can HEAR</w:t>
            </w:r>
          </w:p>
          <w:p>
            <w:r>
              <w:rPr>
                <w:rFonts w:ascii="Calibri" w:cs="Calibri" w:eastAsia="Calibri" w:hAnsi="Calibri"/>
                <w:color w:val="3D332E"/>
                <w:sz w:val="20"/>
                <w:szCs w:val="20"/>
              </w:rPr>
              <w:t xml:space="preserve">Near and far. Let your ears reach for the quietest sound in the room.</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c>
          <w:tcPr>
            <w:tcW w:type="dxa" w:w="90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vAlign w:val="center"/>
          </w:tcPr>
          <w:p>
            <w:pPr>
              <w:jc w:val="center"/>
            </w:pPr>
            <w:r>
              <w:rPr>
                <w:rFonts w:ascii="Georgia" w:cs="Georgia" w:eastAsia="Georgia" w:hAnsi="Georgia"/>
                <w:b/>
                <w:bCs/>
                <w:color w:val="FFFFFF"/>
                <w:sz w:val="30"/>
                <w:szCs w:val="30"/>
              </w:rPr>
              <w:t xml:space="preserve">2</w:t>
            </w:r>
          </w:p>
        </w:tc>
        <w:tc>
          <w:tcPr>
            <w:tcW w:type="dxa" w:w="8460"/>
            <w:tcBorders>
              <w:top w:val="single" w:color="E8D9CD" w:sz="4"/>
              <w:left w:val="single" w:color="E8D9CD" w:sz="4"/>
              <w:bottom w:val="single" w:color="E8D9CD" w:sz="4"/>
              <w:right w:val="single" w:color="E8D9CD" w:sz="4"/>
            </w:tcBorders>
            <w:shd w:fill="FDF8F2" w:val="clear"/>
            <w:tcMar>
              <w:top w:type="dxa" w:w="80"/>
              <w:left w:type="dxa" w:w="160"/>
              <w:bottom w:type="dxa" w:w="80"/>
              <w:right w:type="dxa" w:w="160"/>
            </w:tcMar>
          </w:tcPr>
          <w:p>
            <w:pPr>
              <w:spacing w:after="22" w:before="0"/>
            </w:pPr>
            <w:r>
              <w:rPr>
                <w:rFonts w:ascii="Calibri" w:cs="Calibri" w:eastAsia="Calibri" w:hAnsi="Calibri"/>
                <w:b/>
                <w:bCs/>
                <w:color w:val="8C4530"/>
                <w:sz w:val="21"/>
                <w:szCs w:val="21"/>
              </w:rPr>
              <w:t xml:space="preserve">Notice — name 2 things you can SMELL</w:t>
            </w:r>
          </w:p>
          <w:p>
            <w:r>
              <w:rPr>
                <w:rFonts w:ascii="Calibri" w:cs="Calibri" w:eastAsia="Calibri" w:hAnsi="Calibri"/>
                <w:color w:val="3D332E"/>
                <w:sz w:val="20"/>
                <w:szCs w:val="20"/>
              </w:rPr>
              <w:t xml:space="preserve">Or two smells you find comforting, if none are here right now.</w:t>
            </w:r>
          </w:p>
        </w:tc>
      </w:tr>
    </w:tbl>
    <w:p>
      <w:pPr>
        <w:spacing w:after="0" w:before="6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00"/>
        <w:gridCol w:w="8460"/>
      </w:tblGrid>
      <w:tr>
        <w:tc>
          <w:tcPr>
            <w:tcW w:type="dxa" w:w="900"/>
            <w:tcBorders>
              <w:top w:val="single" w:color="B85C3C" w:sz="4"/>
              <w:left w:val="single" w:color="B85C3C" w:sz="4"/>
              <w:bottom w:val="single" w:color="B85C3C" w:sz="4"/>
              <w:right w:val="single" w:color="B85C3C" w:sz="4"/>
            </w:tcBorders>
            <w:shd w:fill="B85C3C" w:val="clear"/>
            <w:tcMar>
              <w:top w:type="dxa" w:w="80"/>
              <w:left w:type="dxa" w:w="40"/>
              <w:bottom w:type="dxa" w:w="80"/>
              <w:right w:type="dxa" w:w="40"/>
            </w:tcMar>
            <w:vAlign w:val="center"/>
          </w:tcPr>
          <w:p>
            <w:pPr>
              <w:jc w:val="center"/>
            </w:pPr>
            <w:r>
              <w:rPr>
                <w:rFonts w:ascii="Georgia" w:cs="Georgia" w:eastAsia="Georgia" w:hAnsi="Georgia"/>
                <w:b/>
                <w:bCs/>
                <w:color w:val="FFFFFF"/>
                <w:sz w:val="30"/>
                <w:szCs w:val="30"/>
              </w:rPr>
              <w:t xml:space="preserve">1</w:t>
            </w:r>
          </w:p>
        </w:tc>
        <w:tc>
          <w:tcPr>
            <w:tcW w:type="dxa" w:w="8460"/>
            <w:tcBorders>
              <w:top w:val="single" w:color="E8D9CD" w:sz="4"/>
              <w:left w:val="single" w:color="E8D9CD" w:sz="4"/>
              <w:bottom w:val="single" w:color="E8D9CD" w:sz="4"/>
              <w:right w:val="single" w:color="E8D9CD" w:sz="4"/>
            </w:tcBorders>
            <w:shd w:fill="FDF8F2" w:val="clear"/>
            <w:tcMar>
              <w:top w:type="dxa" w:w="80"/>
              <w:left w:type="dxa" w:w="160"/>
              <w:bottom w:type="dxa" w:w="80"/>
              <w:right w:type="dxa" w:w="160"/>
            </w:tcMar>
          </w:tcPr>
          <w:p>
            <w:pPr>
              <w:spacing w:after="22" w:before="0"/>
            </w:pPr>
            <w:r>
              <w:rPr>
                <w:rFonts w:ascii="Calibri" w:cs="Calibri" w:eastAsia="Calibri" w:hAnsi="Calibri"/>
                <w:b/>
                <w:bCs/>
                <w:color w:val="8C4530"/>
                <w:sz w:val="21"/>
                <w:szCs w:val="21"/>
              </w:rPr>
              <w:t xml:space="preserve">Taste — name 1 thing you can TASTE</w:t>
            </w:r>
          </w:p>
          <w:p>
            <w:r>
              <w:rPr>
                <w:rFonts w:ascii="Calibri" w:cs="Calibri" w:eastAsia="Calibri" w:hAnsi="Calibri"/>
                <w:color w:val="3D332E"/>
                <w:sz w:val="20"/>
                <w:szCs w:val="20"/>
              </w:rPr>
              <w:t xml:space="preserve">A sip of water, a mint, or simply notice the taste already in your mouth.</w:t>
            </w:r>
          </w:p>
        </w:tc>
      </w:tr>
    </w:tbl>
    <w:p>
      <w:pPr>
        <w:spacing w:after="0" w:before="8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C8A55B" w:sz="4"/>
              <w:left w:val="single" w:color="C8A55B" w:sz="4"/>
              <w:bottom w:val="single" w:color="C8A55B" w:sz="4"/>
              <w:right w:val="single" w:color="C8A55B" w:sz="4"/>
            </w:tcBorders>
            <w:shd w:fill="F4DCD0" w:val="clear"/>
            <w:tcMar>
              <w:top w:type="dxa" w:w="120"/>
              <w:left w:type="dxa" w:w="190"/>
              <w:bottom w:type="dxa" w:w="120"/>
              <w:right w:type="dxa" w:w="190"/>
            </w:tcMar>
          </w:tcPr>
          <w:p>
            <w:pPr>
              <w:spacing w:after="26" w:before="0"/>
            </w:pPr>
            <w:r>
              <w:rPr>
                <w:rFonts w:ascii="Calibri" w:cs="Calibri" w:eastAsia="Calibri" w:hAnsi="Calibri"/>
                <w:b/>
                <w:bCs/>
                <w:color w:val="8C4530"/>
                <w:sz w:val="21"/>
                <w:szCs w:val="21"/>
              </w:rPr>
              <w:t xml:space="preserve">Then, anchor yourself with these words:</w:t>
            </w:r>
          </w:p>
          <w:p>
            <w:pPr>
              <w:spacing w:after="14" w:before="0"/>
            </w:pPr>
            <w:r>
              <w:rPr>
                <w:rFonts w:ascii="Calibri" w:cs="Calibri" w:eastAsia="Calibri" w:hAnsi="Calibri"/>
                <w:i/>
                <w:iCs/>
                <w:color w:val="3D332E"/>
                <w:sz w:val="22"/>
                <w:szCs w:val="22"/>
              </w:rPr>
              <w:t xml:space="preserve">“That was then. This is now.”</w:t>
            </w:r>
          </w:p>
          <w:p>
            <w:pPr>
              <w:spacing w:after="14" w:before="0"/>
            </w:pPr>
            <w:r>
              <w:rPr>
                <w:rFonts w:ascii="Calibri" w:cs="Calibri" w:eastAsia="Calibri" w:hAnsi="Calibri"/>
                <w:i/>
                <w:iCs/>
                <w:color w:val="3D332E"/>
                <w:sz w:val="22"/>
                <w:szCs w:val="22"/>
              </w:rPr>
              <w:t xml:space="preserve">“I am safe in this moment.”</w:t>
            </w:r>
          </w:p>
          <w:p>
            <w:r>
              <w:rPr>
                <w:rFonts w:ascii="Calibri" w:cs="Calibri" w:eastAsia="Calibri" w:hAnsi="Calibri"/>
                <w:i/>
                <w:iCs/>
                <w:color w:val="3D332E"/>
                <w:sz w:val="22"/>
                <w:szCs w:val="22"/>
              </w:rPr>
              <w:t xml:space="preserve">“This feeling is a wave. It will pass, and I can ride it.”</w:t>
            </w:r>
          </w:p>
        </w:tc>
      </w:tr>
    </w:tbl>
    <w:p>
      <w:pPr>
        <w:spacing w:after="0" w:before="80"/>
      </w:pPr>
      <w:r>
        <w:t xml:space="preserve"/>
      </w:r>
    </w:p>
    <w:p>
      <w:pPr>
        <w:spacing w:after="50" w:before="50"/>
        <w:jc w:val="left"/>
      </w:pPr>
      <w:r>
        <w:rPr>
          <w:rFonts w:ascii="Calibri" w:cs="Calibri" w:eastAsia="Calibri" w:hAnsi="Calibri"/>
          <w:b w:val="false"/>
          <w:bCs w:val="false"/>
          <w:i/>
          <w:iCs/>
          <w:color w:val="7A6B62"/>
          <w:sz w:val="20"/>
          <w:szCs w:val="20"/>
        </w:rPr>
        <w:t xml:space="preserve">Being triggered is not a failure — it’s your nervous system trying to protect you. Each time you ground yourself, you gently teach it that the present is safe. If triggers are frequent or overwhelming, a trauma-informed professional can help you build more tools like this one.</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8D9CD" w:sz="6" w:space="6"/>
      </w:pBdr>
      <w:spacing w:after="20" w:before="40"/>
    </w:pPr>
    <w:r>
      <w:rPr>
        <w:rFonts w:ascii="Calibri" w:cs="Calibri" w:eastAsia="Calibri" w:hAnsi="Calibri"/>
        <w:b/>
        <w:bCs/>
        <w:color w:val="8C4530"/>
        <w:sz w:val="18"/>
        <w:szCs w:val="18"/>
      </w:rPr>
      <w:t xml:space="preserve">Found this helpful?  </w:t>
    </w:r>
    <w:r>
      <w:rPr>
        <w:rFonts w:ascii="Calibri" w:cs="Calibri" w:eastAsia="Calibri" w:hAnsi="Calibri"/>
        <w:color w:val="3D332E"/>
        <w:sz w:val="18"/>
        <w:szCs w:val="18"/>
      </w:rPr>
      <w:t xml:space="preserve">The full Trauma &amp; Safety Series — with guided worksheets for triggers, regulation, and healing — is at </w:t>
    </w:r>
    <w:hyperlink w:history="1" r:id="rIdvadxdrvrb4dhdzrmtza0w">
      <w:r>
        <w:rPr>
          <w:rStyle w:val="Hyperlink"/>
          <w:rFonts w:ascii="Calibri" w:cs="Calibri" w:eastAsia="Calibri" w:hAnsi="Calibri"/>
          <w:color w:val="B85C3C"/>
          <w:sz w:val="18"/>
          <w:szCs w:val="18"/>
        </w:rPr>
        <w:t xml:space="preserve">letsgettoit.net</w:t>
      </w:r>
    </w:hyperlink>
  </w:p>
  <w:p>
    <w:r>
      <w:rPr>
        <w:rFonts w:ascii="Calibri" w:cs="Calibri" w:eastAsia="Calibri" w:hAnsi="Calibri"/>
        <w:i/>
        <w:iCs/>
        <w:color w:val="7A6B62"/>
        <w:sz w:val="15"/>
        <w:szCs w:val="15"/>
      </w:rPr>
      <w:t xml:space="preserve">Edward Larkstone  |  Let’s Get to It  —  free resource. Educational use only; not a substitute for care.  </w:t>
    </w:r>
    <w:r>
      <w:rPr>
        <w:rFonts w:ascii="Calibri" w:cs="Calibri" w:eastAsia="Calibri" w:hAnsi="Calibri"/>
        <w:i/>
        <w:iCs/>
        <w:color w:val="7A6B62"/>
        <w:sz w:val="15"/>
        <w:szCs w:val="15"/>
      </w:rPr>
      <w:t xml:space="preserve">In crisis? Call or text 988 (Suicide &amp; Crisis Lifeline), free 24/7.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85C3C" w:sz="6" w:space="6"/>
      </w:pBdr>
      <w:tabs>
        <w:tab w:val="right" w:pos="9360"/>
      </w:tabs>
    </w:pPr>
    <w:r>
      <w:rPr>
        <w:rFonts w:ascii="Georgia" w:cs="Georgia" w:eastAsia="Georgia" w:hAnsi="Georgia"/>
        <w:b/>
        <w:bCs/>
        <w:color w:val="B85C3C"/>
        <w:sz w:val="18"/>
        <w:szCs w:val="18"/>
      </w:rPr>
      <w:t xml:space="preserve">LET’S GET TO IT</w:t>
    </w:r>
    <w:r>
      <w:rPr>
        <w:rFonts w:ascii="Calibri" w:cs="Calibri" w:eastAsia="Calibri" w:hAnsi="Calibri"/>
        <w:color w:val="7A6B62"/>
        <w:sz w:val="18"/>
        <w:szCs w:val="18"/>
      </w:rPr>
      <w:t xml:space="preserve">	Free Resource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D332E"/>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adxdrvrb4dhdzrmtza0w" Type="http://schemas.openxmlformats.org/officeDocument/2006/relationships/hyperlink" Target="https://letsgettoit.net" TargetMode="External"/></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2026-08-04T17:23:44.684Z</dcterms:created>
  <dcterms:modified xsi:type="dcterms:W3CDTF">2026-08-04T17:23:44.684Z</dcterms:modified>
</cp:coreProperties>
</file>

<file path=docProps/custom.xml><?xml version="1.0" encoding="utf-8"?>
<Properties xmlns="http://schemas.openxmlformats.org/officeDocument/2006/custom-properties" xmlns:vt="http://schemas.openxmlformats.org/officeDocument/2006/docPropsVTypes"/>
</file>