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40"/>
      </w:pPr>
      <w:r>
        <w:t xml:space="preserve"/>
      </w:r>
    </w:p>
    <w:p>
      <w:r>
        <w:rPr>
          <w:rFonts w:ascii="Calibri" w:cs="Calibri" w:eastAsia="Calibri" w:hAnsi="Calibri"/>
          <w:b/>
          <w:bCs/>
          <w:caps/>
          <w:color w:val="7A6B62"/>
          <w:sz w:val="17"/>
          <w:szCs w:val="17"/>
        </w:rPr>
        <w:t xml:space="preserve">FREE EMOTIONAL REGULATION TOOL</w:t>
      </w:r>
    </w:p>
    <w:p>
      <w:pPr>
        <w:spacing w:after="0" w:before="16"/>
      </w:pPr>
      <w:r>
        <w:rPr>
          <w:rFonts w:ascii="Georgia" w:cs="Georgia" w:eastAsia="Georgia" w:hAnsi="Georgia"/>
          <w:b/>
          <w:bCs/>
          <w:color w:val="B85C3C"/>
          <w:sz w:val="44"/>
          <w:szCs w:val="44"/>
        </w:rPr>
        <w:t xml:space="preserve">Name It to Tame It</w:t>
      </w:r>
    </w:p>
    <w:p>
      <w:pPr>
        <w:spacing w:after="120" w:before="0"/>
      </w:pPr>
      <w:r>
        <w:rPr>
          <w:rFonts w:ascii="Calibri" w:cs="Calibri" w:eastAsia="Calibri" w:hAnsi="Calibri"/>
          <w:i/>
          <w:iCs/>
          <w:color w:val="7A6B62"/>
          <w:sz w:val="21"/>
          <w:szCs w:val="21"/>
        </w:rPr>
        <w:t xml:space="preserve">How putting a feeling into words turns its volume down</w:t>
      </w:r>
    </w:p>
    <w:p>
      <w:pPr>
        <w:spacing w:after="50" w:before="5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D332E"/>
          <w:sz w:val="22"/>
          <w:szCs w:val="22"/>
        </w:rPr>
        <w:t xml:space="preserve">There’s a small, well-studied skill that calms the emotional brain: naming what you feel. Not analyzing it, not fixing it — just accurately labeling it. Neuroscience research shows that putting feelings into words is linked to reduced activity in the brain’s threat center. The catch: accuracy helps. “Bad” is vague; the more precise the word, the more it settles.</w:t>
      </w:r>
    </w:p>
    <w:p>
      <w:pPr>
        <w:spacing w:after="0" w:before="80"/>
      </w:pPr>
      <w:r>
        <w:t xml:space="preserve"/>
      </w:r>
    </w:p>
    <w:p>
      <w:pPr>
        <w:spacing w:after="50" w:before="5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3D332E"/>
          <w:sz w:val="22"/>
          <w:szCs w:val="22"/>
        </w:rPr>
        <w:t xml:space="preserve">When a feeling is hard to pin down, find it here:</w:t>
      </w:r>
    </w:p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c>
          <w:tcPr>
            <w:tcW w:type="dxa" w:w="2400"/>
            <w:tcBorders>
              <w:top w:val="single" w:color="8C4530" w:sz="4"/>
              <w:left w:val="single" w:color="8C4530" w:sz="4"/>
              <w:bottom w:val="single" w:color="8C4530" w:sz="4"/>
              <w:right w:val="single" w:color="8C4530" w:sz="4"/>
            </w:tcBorders>
            <w:shd w:fill="8C4530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Anger</w:t>
            </w:r>
          </w:p>
        </w:tc>
        <w:tc>
          <w:tcPr>
            <w:tcW w:type="dxa" w:w="6960"/>
            <w:tcBorders>
              <w:top w:val="single" w:color="E8D9CD" w:sz="4"/>
              <w:left w:val="single" w:color="E8D9CD" w:sz="4"/>
              <w:bottom w:val="single" w:color="E8D9CD" w:sz="4"/>
              <w:right w:val="single" w:color="E8D9CD" w:sz="4"/>
            </w:tcBorders>
            <w:shd w:fill="FDF8F2" w:val="clear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irritated · frustrated · resentful · indignant · bitter · defensive</w:t>
            </w:r>
          </w:p>
        </w:tc>
      </w:tr>
      <w:tr>
        <w:tc>
          <w:tcPr>
            <w:tcW w:type="dxa" w:w="2400"/>
            <w:tcBorders>
              <w:top w:val="single" w:color="8C4530" w:sz="4"/>
              <w:left w:val="single" w:color="8C4530" w:sz="4"/>
              <w:bottom w:val="single" w:color="8C4530" w:sz="4"/>
              <w:right w:val="single" w:color="8C4530" w:sz="4"/>
            </w:tcBorders>
            <w:shd w:fill="8C4530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Fear</w:t>
            </w:r>
          </w:p>
        </w:tc>
        <w:tc>
          <w:tcPr>
            <w:tcW w:type="dxa" w:w="6960"/>
            <w:tcBorders>
              <w:top w:val="single" w:color="E8D9CD" w:sz="4"/>
              <w:left w:val="single" w:color="E8D9CD" w:sz="4"/>
              <w:bottom w:val="single" w:color="E8D9CD" w:sz="4"/>
              <w:right w:val="single" w:color="E8D9CD" w:sz="4"/>
            </w:tcBorders>
            <w:shd w:fill="FDF8F2" w:val="clear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anxious · nervous · dread · uneasy · panicked · insecure · overwhelmed</w:t>
            </w:r>
          </w:p>
        </w:tc>
      </w:tr>
      <w:tr>
        <w:tc>
          <w:tcPr>
            <w:tcW w:type="dxa" w:w="2400"/>
            <w:tcBorders>
              <w:top w:val="single" w:color="8C4530" w:sz="4"/>
              <w:left w:val="single" w:color="8C4530" w:sz="4"/>
              <w:bottom w:val="single" w:color="8C4530" w:sz="4"/>
              <w:right w:val="single" w:color="8C4530" w:sz="4"/>
            </w:tcBorders>
            <w:shd w:fill="8C4530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Sadness</w:t>
            </w:r>
          </w:p>
        </w:tc>
        <w:tc>
          <w:tcPr>
            <w:tcW w:type="dxa" w:w="6960"/>
            <w:tcBorders>
              <w:top w:val="single" w:color="E8D9CD" w:sz="4"/>
              <w:left w:val="single" w:color="E8D9CD" w:sz="4"/>
              <w:bottom w:val="single" w:color="E8D9CD" w:sz="4"/>
              <w:right w:val="single" w:color="E8D9CD" w:sz="4"/>
            </w:tcBorders>
            <w:shd w:fill="FDF8F2" w:val="clear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disappointed · lonely · grief · hopeless · discouraged · empty</w:t>
            </w:r>
          </w:p>
        </w:tc>
      </w:tr>
      <w:tr>
        <w:tc>
          <w:tcPr>
            <w:tcW w:type="dxa" w:w="2400"/>
            <w:tcBorders>
              <w:top w:val="single" w:color="8C4530" w:sz="4"/>
              <w:left w:val="single" w:color="8C4530" w:sz="4"/>
              <w:bottom w:val="single" w:color="8C4530" w:sz="4"/>
              <w:right w:val="single" w:color="8C4530" w:sz="4"/>
            </w:tcBorders>
            <w:shd w:fill="8C4530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Shame</w:t>
            </w:r>
          </w:p>
        </w:tc>
        <w:tc>
          <w:tcPr>
            <w:tcW w:type="dxa" w:w="6960"/>
            <w:tcBorders>
              <w:top w:val="single" w:color="E8D9CD" w:sz="4"/>
              <w:left w:val="single" w:color="E8D9CD" w:sz="4"/>
              <w:bottom w:val="single" w:color="E8D9CD" w:sz="4"/>
              <w:right w:val="single" w:color="E8D9CD" w:sz="4"/>
            </w:tcBorders>
            <w:shd w:fill="FDF8F2" w:val="clear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embarrassed · guilty · inadequate · exposed · small · unworthy</w:t>
            </w:r>
          </w:p>
        </w:tc>
      </w:tr>
      <w:tr>
        <w:tc>
          <w:tcPr>
            <w:tcW w:type="dxa" w:w="2400"/>
            <w:tcBorders>
              <w:top w:val="single" w:color="8C4530" w:sz="4"/>
              <w:left w:val="single" w:color="8C4530" w:sz="4"/>
              <w:bottom w:val="single" w:color="8C4530" w:sz="4"/>
              <w:right w:val="single" w:color="8C4530" w:sz="4"/>
            </w:tcBorders>
            <w:shd w:fill="8C4530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Joy</w:t>
            </w:r>
          </w:p>
        </w:tc>
        <w:tc>
          <w:tcPr>
            <w:tcW w:type="dxa" w:w="6960"/>
            <w:tcBorders>
              <w:top w:val="single" w:color="E8D9CD" w:sz="4"/>
              <w:left w:val="single" w:color="E8D9CD" w:sz="4"/>
              <w:bottom w:val="single" w:color="E8D9CD" w:sz="4"/>
              <w:right w:val="single" w:color="E8D9CD" w:sz="4"/>
            </w:tcBorders>
            <w:shd w:fill="FDF8F2" w:val="clear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content · grateful · hopeful · proud · excited · relieved</w:t>
            </w:r>
          </w:p>
        </w:tc>
      </w:tr>
      <w:tr>
        <w:tc>
          <w:tcPr>
            <w:tcW w:type="dxa" w:w="2400"/>
            <w:tcBorders>
              <w:top w:val="single" w:color="8C4530" w:sz="4"/>
              <w:left w:val="single" w:color="8C4530" w:sz="4"/>
              <w:bottom w:val="single" w:color="8C4530" w:sz="4"/>
              <w:right w:val="single" w:color="8C4530" w:sz="4"/>
            </w:tcBorders>
            <w:shd w:fill="8C4530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Calm</w:t>
            </w:r>
          </w:p>
        </w:tc>
        <w:tc>
          <w:tcPr>
            <w:tcW w:type="dxa" w:w="6960"/>
            <w:tcBorders>
              <w:top w:val="single" w:color="E8D9CD" w:sz="4"/>
              <w:left w:val="single" w:color="E8D9CD" w:sz="4"/>
              <w:bottom w:val="single" w:color="E8D9CD" w:sz="4"/>
              <w:right w:val="single" w:color="E8D9CD" w:sz="4"/>
            </w:tcBorders>
            <w:shd w:fill="FDF8F2" w:val="clear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peaceful · settled · grounded · safe · rested · steady · at ease</w:t>
            </w:r>
          </w:p>
        </w:tc>
      </w:tr>
    </w:tbl>
    <w:p>
      <w:pPr>
        <w:spacing w:after="0" w:before="1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8A55B" w:sz="4"/>
              <w:left w:val="single" w:color="C8A55B" w:sz="4"/>
              <w:bottom w:val="single" w:color="C8A55B" w:sz="4"/>
              <w:right w:val="single" w:color="C8A55B" w:sz="4"/>
            </w:tcBorders>
            <w:shd w:fill="FDF8F2" w:val="clear"/>
            <w:tcMar>
              <w:top w:type="dxa" w:w="130"/>
              <w:left w:type="dxa" w:w="190"/>
              <w:bottom w:type="dxa" w:w="130"/>
              <w:right w:type="dxa" w:w="190"/>
            </w:tcMar>
          </w:tcPr>
          <w:p>
            <w:pPr>
              <w:spacing w:after="50" w:before="0"/>
            </w:pPr>
            <w:r>
              <w:rPr>
                <w:rFonts w:ascii="Georgia" w:cs="Georgia" w:eastAsia="Georgia" w:hAnsi="Georgia"/>
                <w:b/>
                <w:bCs/>
                <w:color w:val="8C4530"/>
                <w:sz w:val="22"/>
                <w:szCs w:val="22"/>
              </w:rPr>
              <w:t xml:space="preserve">The daily habit</w:t>
            </w:r>
          </w:p>
          <w:p>
            <w:pPr>
              <w:spacing w:after="26" w:before="26"/>
            </w:pPr>
            <w:r>
              <w:rPr>
                <w:rFonts w:ascii="Calibri" w:cs="Calibri" w:eastAsia="Calibri" w:hAnsi="Calibri"/>
                <w:i w:val="false"/>
                <w:iCs w:val="false"/>
                <w:color w:val="3D332E"/>
                <w:sz w:val="21"/>
                <w:szCs w:val="21"/>
              </w:rPr>
              <w:t xml:space="preserve">Once a day — a meal, or before bed — pause and ask: “What am I feeling right now?” and name it in one or two precise words.</w:t>
            </w:r>
          </w:p>
          <w:p>
            <w:pPr>
              <w:spacing w:after="26" w:before="26"/>
            </w:pPr>
            <w:r>
              <w:rPr>
                <w:rFonts w:ascii="Calibri" w:cs="Calibri" w:eastAsia="Calibri" w:hAnsi="Calibri"/>
                <w:i/>
                <w:iCs/>
                <w:color w:val="3D332E"/>
                <w:sz w:val="21"/>
                <w:szCs w:val="21"/>
              </w:rPr>
              <w:t xml:space="preserve">“The feeling I can name is a feeling I can hold.”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8D9CD" w:sz="6" w:space="6"/>
      </w:pBdr>
      <w:spacing w:after="20" w:before="40"/>
    </w:pPr>
    <w:r>
      <w:rPr>
        <w:rFonts w:ascii="Calibri" w:cs="Calibri" w:eastAsia="Calibri" w:hAnsi="Calibri"/>
        <w:b/>
        <w:bCs/>
        <w:color w:val="8C4530"/>
        <w:sz w:val="18"/>
        <w:szCs w:val="18"/>
      </w:rPr>
      <w:t xml:space="preserve">Found this helpful?  </w:t>
    </w:r>
    <w:r>
      <w:rPr>
        <w:rFonts w:ascii="Calibri" w:cs="Calibri" w:eastAsia="Calibri" w:hAnsi="Calibri"/>
        <w:color w:val="3D332E"/>
        <w:sz w:val="18"/>
        <w:szCs w:val="18"/>
      </w:rPr>
      <w:t xml:space="preserve">The full Emotional Regulation Series — with guided worksheets and practice — is available at </w:t>
    </w:r>
    <w:hyperlink w:history="1" r:id="rIdekd9mcdvy2wkk91401x0h">
      <w:r>
        <w:rPr>
          <w:rStyle w:val="Hyperlink"/>
          <w:rFonts w:ascii="Calibri" w:cs="Calibri" w:eastAsia="Calibri" w:hAnsi="Calibri"/>
          <w:color w:val="B85C3C"/>
          <w:sz w:val="18"/>
          <w:szCs w:val="18"/>
        </w:rPr>
        <w:t xml:space="preserve">letsgettoit.net</w:t>
      </w:r>
    </w:hyperlink>
  </w:p>
  <w:p>
    <w:r>
      <w:rPr>
        <w:rFonts w:ascii="Calibri" w:cs="Calibri" w:eastAsia="Calibri" w:hAnsi="Calibri"/>
        <w:i/>
        <w:iCs/>
        <w:color w:val="7A6B62"/>
        <w:sz w:val="15"/>
        <w:szCs w:val="15"/>
      </w:rPr>
      <w:t xml:space="preserve">Edward Larkstone  |  Let’s Get to It  —  free resource. </w:t>
    </w:r>
    <w:r>
      <w:rPr>
        <w:rFonts w:ascii="Calibri" w:cs="Calibri" w:eastAsia="Calibri" w:hAnsi="Calibri"/>
        <w:i/>
        <w:iCs/>
        <w:color w:val="7A6B62"/>
        <w:sz w:val="15"/>
        <w:szCs w:val="15"/>
      </w:rPr>
      <w:t xml:space="preserve">Educational use only; not a substitute for therapy or professional care.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85C3C" w:sz="6" w:space="6"/>
      </w:pBdr>
      <w:tabs>
        <w:tab w:val="right" w:pos="9360"/>
      </w:tabs>
    </w:pPr>
    <w:r>
      <w:rPr>
        <w:rFonts w:ascii="Georgia" w:cs="Georgia" w:eastAsia="Georgia" w:hAnsi="Georgia"/>
        <w:b/>
        <w:bCs/>
        <w:color w:val="B85C3C"/>
        <w:sz w:val="18"/>
        <w:szCs w:val="18"/>
      </w:rPr>
      <w:t xml:space="preserve">LET’S GET TO IT</w:t>
    </w:r>
    <w:r>
      <w:rPr>
        <w:rFonts w:ascii="Calibri" w:cs="Calibri" w:eastAsia="Calibri" w:hAnsi="Calibri"/>
        <w:color w:val="7A6B62"/>
        <w:sz w:val="18"/>
        <w:szCs w:val="18"/>
      </w:rPr>
      <w:t xml:space="preserve">	Free Resource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D332E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d9mcdvy2wkk91401x0h" Type="http://schemas.openxmlformats.org/officeDocument/2006/relationships/hyperlink" Target="https://letsgettoit.net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2026-07-17T15:42:49.407Z</dcterms:created>
  <dcterms:modified xsi:type="dcterms:W3CDTF">2026-07-17T15:42:49.407Z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