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80"/>
      </w:pPr>
      <w:r>
        <w:t xml:space="preserve"/>
      </w:r>
    </w:p>
    <w:p>
      <w:pPr>
        <w:spacing w:after="0" w:before="0"/>
      </w:pPr>
      <w:r>
        <w:rPr>
          <w:rFonts w:ascii="Calibri" w:cs="Calibri" w:eastAsia="Calibri" w:hAnsi="Calibri"/>
          <w:b/>
          <w:bCs/>
          <w:caps/>
          <w:color w:val="7A6B62"/>
          <w:sz w:val="18"/>
          <w:szCs w:val="18"/>
        </w:rPr>
        <w:t xml:space="preserve">THE 30-SECOND GUILT CHECK</w:t>
      </w:r>
    </w:p>
    <w:p>
      <w:pPr>
        <w:spacing w:after="0" w:before="20"/>
      </w:pPr>
      <w:r>
        <w:rPr>
          <w:rFonts w:ascii="Georgia" w:cs="Georgia" w:eastAsia="Georgia" w:hAnsi="Georgia"/>
          <w:b/>
          <w:bCs/>
          <w:color w:val="B85C3C"/>
          <w:sz w:val="40"/>
          <w:szCs w:val="40"/>
        </w:rPr>
        <w:t xml:space="preserve">Is This Mine to Carry?</w:t>
      </w:r>
    </w:p>
    <w:p>
      <w:pPr>
        <w:spacing w:after="120" w:before="20"/>
      </w:pPr>
      <w:r>
        <w:rPr>
          <w:rFonts w:ascii="Calibri" w:cs="Calibri" w:eastAsia="Calibri" w:hAnsi="Calibri"/>
          <w:i/>
          <w:iCs/>
          <w:color w:val="7A6B62"/>
          <w:sz w:val="21"/>
          <w:szCs w:val="21"/>
        </w:rPr>
        <w:t xml:space="preserve">Feeling guilty — but not sure it’s actually yours to feel? Bring the situation to mind and run it through these five questions before you say yes, apologize, or take the blame.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8A55B" w:sz="6"/>
              <w:left w:val="single" w:color="C8A55B" w:sz="6"/>
              <w:bottom w:val="single" w:color="C8A55B" w:sz="6"/>
              <w:right w:val="single" w:color="C8A55B" w:sz="6"/>
            </w:tcBorders>
            <w:shd w:fill="F4DCD0" w:val="clear"/>
            <w:tcMar>
              <w:top w:type="dxa" w:w="100"/>
              <w:left w:type="dxa" w:w="180"/>
              <w:bottom w:type="dxa" w:w="120"/>
              <w:right w:type="dxa" w:w="180"/>
            </w:tcMar>
          </w:tcPr>
          <w:p>
            <w:pPr>
              <w:spacing w:after="60" w:before="0"/>
            </w:pPr>
            <w:r>
              <w:rPr>
                <w:rFonts w:ascii="Calibri" w:cs="Calibri" w:eastAsia="Calibri" w:hAnsi="Calibri"/>
                <w:b/>
                <w:bCs/>
                <w:color w:val="8C4530"/>
                <w:sz w:val="20"/>
                <w:szCs w:val="20"/>
              </w:rPr>
              <w:t xml:space="preserve">The guilt I’m checking:</w:t>
            </w:r>
          </w:p>
          <w:p>
            <w:pPr>
              <w:pBdr>
                <w:bottom w:val="single" w:color="7A6B62" w:sz="4" w:space="4"/>
              </w:pBdr>
              <w:spacing w:after="0" w:before="120"/>
            </w:pPr>
          </w:p>
        </w:tc>
      </w:tr>
    </w:tbl>
    <w:p>
      <w:pPr>
        <w:spacing w:after="0" w:before="16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20"/>
        <w:gridCol w:w="8640"/>
      </w:tblGrid>
      <w:tr>
        <w:tc>
          <w:tcPr>
            <w:tcW w:type="dxa" w:w="720"/>
            <w:tcBorders>
              <w:top w:val="single" w:color="B85C3C" w:sz="6"/>
              <w:left w:val="single" w:color="B85C3C" w:sz="6"/>
              <w:bottom w:val="single" w:color="B85C3C" w:sz="6"/>
              <w:right w:val="single" w:color="B85C3C" w:sz="6"/>
            </w:tcBorders>
            <w:shd w:fill="B85C3C" w:val="clear"/>
            <w:tcMar>
              <w:top w:type="dxa" w:w="60"/>
              <w:left w:type="dxa" w:w="20"/>
              <w:bottom w:type="dxa" w:w="60"/>
              <w:right w:type="dxa" w:w="20"/>
            </w:tcMar>
            <w:vAlign w:val="center"/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24"/>
                <w:szCs w:val="24"/>
              </w:rPr>
              <w:t xml:space="preserve">1</w:t>
            </w:r>
          </w:p>
        </w:tc>
        <w:tc>
          <w:tcPr>
            <w:tcW w:type="dxa" w:w="8640"/>
            <w:tcBorders>
              <w:top w:val="single" w:color="E8D9CD" w:sz="6"/>
              <w:left w:val="single" w:color="E8D9CD" w:sz="6"/>
              <w:bottom w:val="single" w:color="E8D9CD" w:sz="6"/>
              <w:right w:val="single" w:color="E8D9CD" w:sz="6"/>
            </w:tcBorders>
            <w:shd w:fill="FDF8F2" w:val="clear"/>
            <w:tcMar>
              <w:top w:type="dxa" w:w="80"/>
              <w:left w:type="dxa" w:w="170"/>
              <w:bottom w:type="dxa" w:w="80"/>
              <w:right w:type="dxa" w:w="150"/>
            </w:tcMar>
          </w:tcPr>
          <w:p>
            <w:pPr>
              <w:spacing w:after="14" w:before="0"/>
            </w:pPr>
            <w:r>
              <w:rPr>
                <w:rFonts w:ascii="Calibri" w:cs="Calibri" w:eastAsia="Calibri" w:hAnsi="Calibri"/>
                <w:b/>
                <w:bCs/>
                <w:color w:val="8C4530"/>
                <w:sz w:val="21"/>
                <w:szCs w:val="21"/>
              </w:rPr>
              <w:t xml:space="preserve">Did I actually do something wrong?</w:t>
            </w:r>
          </w:p>
          <w:p>
            <w:r>
              <w:rPr>
                <w:rFonts w:ascii="Calibri" w:cs="Calibri" w:eastAsia="Calibri" w:hAnsi="Calibri"/>
                <w:color w:val="3D332E"/>
                <w:sz w:val="20"/>
                <w:szCs w:val="20"/>
              </w:rPr>
              <w:t xml:space="preserve">Name the specific action against your values. If you can’t — if it’s just “I said no” or “I had a need” — it’s likely FALSE guilt, not real guilt.</w:t>
            </w:r>
          </w:p>
        </w:tc>
      </w:tr>
    </w:tbl>
    <w:p>
      <w:pPr>
        <w:spacing w:after="0" w:before="6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20"/>
        <w:gridCol w:w="8640"/>
      </w:tblGrid>
      <w:tr>
        <w:tc>
          <w:tcPr>
            <w:tcW w:type="dxa" w:w="720"/>
            <w:tcBorders>
              <w:top w:val="single" w:color="B85C3C" w:sz="6"/>
              <w:left w:val="single" w:color="B85C3C" w:sz="6"/>
              <w:bottom w:val="single" w:color="B85C3C" w:sz="6"/>
              <w:right w:val="single" w:color="B85C3C" w:sz="6"/>
            </w:tcBorders>
            <w:shd w:fill="B85C3C" w:val="clear"/>
            <w:tcMar>
              <w:top w:type="dxa" w:w="60"/>
              <w:left w:type="dxa" w:w="20"/>
              <w:bottom w:type="dxa" w:w="60"/>
              <w:right w:type="dxa" w:w="20"/>
            </w:tcMar>
            <w:vAlign w:val="center"/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24"/>
                <w:szCs w:val="24"/>
              </w:rPr>
              <w:t xml:space="preserve">2</w:t>
            </w:r>
          </w:p>
        </w:tc>
        <w:tc>
          <w:tcPr>
            <w:tcW w:type="dxa" w:w="8640"/>
            <w:tcBorders>
              <w:top w:val="single" w:color="E8D9CD" w:sz="6"/>
              <w:left w:val="single" w:color="E8D9CD" w:sz="6"/>
              <w:bottom w:val="single" w:color="E8D9CD" w:sz="6"/>
              <w:right w:val="single" w:color="E8D9CD" w:sz="6"/>
            </w:tcBorders>
            <w:shd w:fill="FDF8F2" w:val="clear"/>
            <w:tcMar>
              <w:top w:type="dxa" w:w="80"/>
              <w:left w:type="dxa" w:w="170"/>
              <w:bottom w:type="dxa" w:w="80"/>
              <w:right w:type="dxa" w:w="150"/>
            </w:tcMar>
          </w:tcPr>
          <w:p>
            <w:pPr>
              <w:spacing w:after="14" w:before="0"/>
            </w:pPr>
            <w:r>
              <w:rPr>
                <w:rFonts w:ascii="Calibri" w:cs="Calibri" w:eastAsia="Calibri" w:hAnsi="Calibri"/>
                <w:b/>
                <w:bCs/>
                <w:color w:val="8C4530"/>
                <w:sz w:val="21"/>
                <w:szCs w:val="21"/>
              </w:rPr>
              <w:t xml:space="preserve">Whose feelings am I responsible for?</w:t>
            </w:r>
          </w:p>
          <w:p>
            <w:r>
              <w:rPr>
                <w:rFonts w:ascii="Calibri" w:cs="Calibri" w:eastAsia="Calibri" w:hAnsi="Calibri"/>
                <w:color w:val="3D332E"/>
                <w:sz w:val="20"/>
                <w:szCs w:val="20"/>
              </w:rPr>
              <w:t xml:space="preserve">You’re responsible FOR your actions and honesty — and only responsible TO others with kindness. Their reaction isn’t yours to carry.</w:t>
            </w:r>
          </w:p>
        </w:tc>
      </w:tr>
    </w:tbl>
    <w:p>
      <w:pPr>
        <w:spacing w:after="0" w:before="6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20"/>
        <w:gridCol w:w="8640"/>
      </w:tblGrid>
      <w:tr>
        <w:tc>
          <w:tcPr>
            <w:tcW w:type="dxa" w:w="720"/>
            <w:tcBorders>
              <w:top w:val="single" w:color="B85C3C" w:sz="6"/>
              <w:left w:val="single" w:color="B85C3C" w:sz="6"/>
              <w:bottom w:val="single" w:color="B85C3C" w:sz="6"/>
              <w:right w:val="single" w:color="B85C3C" w:sz="6"/>
            </w:tcBorders>
            <w:shd w:fill="B85C3C" w:val="clear"/>
            <w:tcMar>
              <w:top w:type="dxa" w:w="60"/>
              <w:left w:type="dxa" w:w="20"/>
              <w:bottom w:type="dxa" w:w="60"/>
              <w:right w:type="dxa" w:w="20"/>
            </w:tcMar>
            <w:vAlign w:val="center"/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24"/>
                <w:szCs w:val="24"/>
              </w:rPr>
              <w:t xml:space="preserve">3</w:t>
            </w:r>
          </w:p>
        </w:tc>
        <w:tc>
          <w:tcPr>
            <w:tcW w:type="dxa" w:w="8640"/>
            <w:tcBorders>
              <w:top w:val="single" w:color="E8D9CD" w:sz="6"/>
              <w:left w:val="single" w:color="E8D9CD" w:sz="6"/>
              <w:bottom w:val="single" w:color="E8D9CD" w:sz="6"/>
              <w:right w:val="single" w:color="E8D9CD" w:sz="6"/>
            </w:tcBorders>
            <w:shd w:fill="FDF8F2" w:val="clear"/>
            <w:tcMar>
              <w:top w:type="dxa" w:w="80"/>
              <w:left w:type="dxa" w:w="170"/>
              <w:bottom w:type="dxa" w:w="80"/>
              <w:right w:type="dxa" w:w="150"/>
            </w:tcMar>
          </w:tcPr>
          <w:p>
            <w:pPr>
              <w:spacing w:after="14" w:before="0"/>
            </w:pPr>
            <w:r>
              <w:rPr>
                <w:rFonts w:ascii="Calibri" w:cs="Calibri" w:eastAsia="Calibri" w:hAnsi="Calibri"/>
                <w:b/>
                <w:bCs/>
                <w:color w:val="8C4530"/>
                <w:sz w:val="21"/>
                <w:szCs w:val="21"/>
              </w:rPr>
              <w:t xml:space="preserve">Is this a pull or a push?</w:t>
            </w:r>
          </w:p>
          <w:p>
            <w:r>
              <w:rPr>
                <w:rFonts w:ascii="Calibri" w:cs="Calibri" w:eastAsia="Calibri" w:hAnsi="Calibri"/>
                <w:color w:val="3D332E"/>
                <w:sz w:val="20"/>
                <w:szCs w:val="20"/>
              </w:rPr>
              <w:t xml:space="preserve">A genuine yes feels like a pull (willingness). Guilt-driven giving feels like a push (obligation, dread). If it’s a push, you’ll likely resent it later.</w:t>
            </w:r>
          </w:p>
        </w:tc>
      </w:tr>
    </w:tbl>
    <w:p>
      <w:pPr>
        <w:spacing w:after="0" w:before="6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20"/>
        <w:gridCol w:w="8640"/>
      </w:tblGrid>
      <w:tr>
        <w:tc>
          <w:tcPr>
            <w:tcW w:type="dxa" w:w="720"/>
            <w:tcBorders>
              <w:top w:val="single" w:color="B85C3C" w:sz="6"/>
              <w:left w:val="single" w:color="B85C3C" w:sz="6"/>
              <w:bottom w:val="single" w:color="B85C3C" w:sz="6"/>
              <w:right w:val="single" w:color="B85C3C" w:sz="6"/>
            </w:tcBorders>
            <w:shd w:fill="B85C3C" w:val="clear"/>
            <w:tcMar>
              <w:top w:type="dxa" w:w="60"/>
              <w:left w:type="dxa" w:w="20"/>
              <w:bottom w:type="dxa" w:w="60"/>
              <w:right w:type="dxa" w:w="20"/>
            </w:tcMar>
            <w:vAlign w:val="center"/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24"/>
                <w:szCs w:val="24"/>
              </w:rPr>
              <w:t xml:space="preserve">4</w:t>
            </w:r>
          </w:p>
        </w:tc>
        <w:tc>
          <w:tcPr>
            <w:tcW w:type="dxa" w:w="8640"/>
            <w:tcBorders>
              <w:top w:val="single" w:color="E8D9CD" w:sz="6"/>
              <w:left w:val="single" w:color="E8D9CD" w:sz="6"/>
              <w:bottom w:val="single" w:color="E8D9CD" w:sz="6"/>
              <w:right w:val="single" w:color="E8D9CD" w:sz="6"/>
            </w:tcBorders>
            <w:shd w:fill="FDF8F2" w:val="clear"/>
            <w:tcMar>
              <w:top w:type="dxa" w:w="80"/>
              <w:left w:type="dxa" w:w="170"/>
              <w:bottom w:type="dxa" w:w="80"/>
              <w:right w:type="dxa" w:w="150"/>
            </w:tcMar>
          </w:tcPr>
          <w:p>
            <w:pPr>
              <w:spacing w:after="14" w:before="0"/>
            </w:pPr>
            <w:r>
              <w:rPr>
                <w:rFonts w:ascii="Calibri" w:cs="Calibri" w:eastAsia="Calibri" w:hAnsi="Calibri"/>
                <w:b/>
                <w:bCs/>
                <w:color w:val="8C4530"/>
                <w:sz w:val="21"/>
                <w:szCs w:val="21"/>
              </w:rPr>
              <w:t xml:space="preserve">Would I judge a friend for this?</w:t>
            </w:r>
          </w:p>
          <w:p>
            <w:r>
              <w:rPr>
                <w:rFonts w:ascii="Calibri" w:cs="Calibri" w:eastAsia="Calibri" w:hAnsi="Calibri"/>
                <w:color w:val="3D332E"/>
                <w:sz w:val="20"/>
                <w:szCs w:val="20"/>
              </w:rPr>
              <w:t xml:space="preserve">If your best friend did exactly what you did, would you blame them — or reassure them? If you’d reassure them, offer yourself the same.</w:t>
            </w:r>
          </w:p>
        </w:tc>
      </w:tr>
    </w:tbl>
    <w:p>
      <w:pPr>
        <w:spacing w:after="0" w:before="6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20"/>
        <w:gridCol w:w="8640"/>
      </w:tblGrid>
      <w:tr>
        <w:tc>
          <w:tcPr>
            <w:tcW w:type="dxa" w:w="720"/>
            <w:tcBorders>
              <w:top w:val="single" w:color="B85C3C" w:sz="6"/>
              <w:left w:val="single" w:color="B85C3C" w:sz="6"/>
              <w:bottom w:val="single" w:color="B85C3C" w:sz="6"/>
              <w:right w:val="single" w:color="B85C3C" w:sz="6"/>
            </w:tcBorders>
            <w:shd w:fill="B85C3C" w:val="clear"/>
            <w:tcMar>
              <w:top w:type="dxa" w:w="60"/>
              <w:left w:type="dxa" w:w="20"/>
              <w:bottom w:type="dxa" w:w="60"/>
              <w:right w:type="dxa" w:w="20"/>
            </w:tcMar>
            <w:vAlign w:val="center"/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24"/>
                <w:szCs w:val="24"/>
              </w:rPr>
              <w:t xml:space="preserve">5</w:t>
            </w:r>
          </w:p>
        </w:tc>
        <w:tc>
          <w:tcPr>
            <w:tcW w:type="dxa" w:w="8640"/>
            <w:tcBorders>
              <w:top w:val="single" w:color="E8D9CD" w:sz="6"/>
              <w:left w:val="single" w:color="E8D9CD" w:sz="6"/>
              <w:bottom w:val="single" w:color="E8D9CD" w:sz="6"/>
              <w:right w:val="single" w:color="E8D9CD" w:sz="6"/>
            </w:tcBorders>
            <w:shd w:fill="FDF8F2" w:val="clear"/>
            <w:tcMar>
              <w:top w:type="dxa" w:w="80"/>
              <w:left w:type="dxa" w:w="170"/>
              <w:bottom w:type="dxa" w:w="80"/>
              <w:right w:type="dxa" w:w="150"/>
            </w:tcMar>
          </w:tcPr>
          <w:p>
            <w:pPr>
              <w:spacing w:after="14" w:before="0"/>
            </w:pPr>
            <w:r>
              <w:rPr>
                <w:rFonts w:ascii="Calibri" w:cs="Calibri" w:eastAsia="Calibri" w:hAnsi="Calibri"/>
                <w:b/>
                <w:bCs/>
                <w:color w:val="8C4530"/>
                <w:sz w:val="21"/>
                <w:szCs w:val="21"/>
              </w:rPr>
              <w:t xml:space="preserve">Whose voice is this guilt in?</w:t>
            </w:r>
          </w:p>
          <w:p>
            <w:r>
              <w:rPr>
                <w:rFonts w:ascii="Calibri" w:cs="Calibri" w:eastAsia="Calibri" w:hAnsi="Calibri"/>
                <w:color w:val="3D332E"/>
                <w:sz w:val="20"/>
                <w:szCs w:val="20"/>
              </w:rPr>
              <w:t xml:space="preserve">If it sounds like a parent, a culture, or an old ‘should’ — it may be borrowed programming, not your own truth. You don’t have to obey it.</w:t>
            </w:r>
          </w:p>
        </w:tc>
      </w:tr>
    </w:tbl>
    <w:p>
      <w:pPr>
        <w:spacing w:after="0" w:before="16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B85C3C" w:sz="6"/>
              <w:left w:val="single" w:color="B85C3C" w:sz="6"/>
              <w:bottom w:val="single" w:color="B85C3C" w:sz="6"/>
              <w:right w:val="single" w:color="B85C3C" w:sz="6"/>
            </w:tcBorders>
            <w:shd w:fill="B85C3C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40" w:before="0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22"/>
                <w:szCs w:val="22"/>
              </w:rPr>
              <w:t xml:space="preserve">Not yours to carry? Set it down.</w:t>
            </w:r>
          </w:p>
          <w:p>
            <w:r>
              <w:rPr>
                <w:rFonts w:ascii="Calibri" w:cs="Calibri" w:eastAsia="Calibri" w:hAnsi="Calibri"/>
                <w:i/>
                <w:iCs/>
                <w:color w:val="F4DCD0"/>
                <w:sz w:val="20"/>
                <w:szCs w:val="20"/>
              </w:rPr>
              <w:t xml:space="preserve">Real guilt points to a repair you can make. False guilt just asks you to over-give and self-abandon — and quietly breeds resentment. You’re allowed to say no, have needs, and put the borrowed guilt down.</w:t>
            </w:r>
          </w:p>
        </w:tc>
      </w:tr>
    </w:tbl>
    <w:p>
      <w:pPr>
        <w:spacing w:after="0" w:before="200"/>
      </w:pPr>
      <w:r>
        <w:t xml:space="preserve"/>
      </w:r>
    </w:p>
    <w:p>
      <w:pPr>
        <w:spacing w:after="40" w:before="0"/>
        <w:jc w:val="center"/>
      </w:pPr>
      <w:r>
        <w:rPr>
          <w:rFonts w:ascii="Georgia" w:cs="Georgia" w:eastAsia="Georgia" w:hAnsi="Georgia"/>
          <w:b/>
          <w:bCs/>
          <w:color w:val="8C4530"/>
          <w:sz w:val="24"/>
          <w:szCs w:val="24"/>
        </w:rPr>
        <w:t xml:space="preserve">Want to go deeper?</w:t>
      </w:r>
    </w:p>
    <w:p>
      <w:pPr>
        <w:spacing w:after="60" w:before="0"/>
        <w:jc w:val="center"/>
      </w:pPr>
      <w:r>
        <w:rPr>
          <w:rFonts w:ascii="Calibri" w:cs="Calibri" w:eastAsia="Calibri" w:hAnsi="Calibri"/>
          <w:color w:val="3D332E"/>
          <w:sz w:val="21"/>
          <w:szCs w:val="21"/>
        </w:rPr>
        <w:t xml:space="preserve">This is a taste of the </w:t>
      </w:r>
      <w:r>
        <w:rPr>
          <w:rFonts w:ascii="Calibri" w:cs="Calibri" w:eastAsia="Calibri" w:hAnsi="Calibri"/>
          <w:b/>
          <w:bCs/>
          <w:color w:val="3D332E"/>
          <w:sz w:val="21"/>
          <w:szCs w:val="21"/>
        </w:rPr>
        <w:t xml:space="preserve">Guilt &amp; Resentment</w:t>
      </w:r>
      <w:r>
        <w:rPr>
          <w:rFonts w:ascii="Calibri" w:cs="Calibri" w:eastAsia="Calibri" w:hAnsi="Calibri"/>
          <w:color w:val="3D332E"/>
          <w:sz w:val="21"/>
          <w:szCs w:val="21"/>
        </w:rPr>
        <w:t xml:space="preserve"> series — guided worksheets on the guilt-resentment cycle, where your guilt came from, the over-functioning trap, working through resentment, and breaking the cycle for good.</w:t>
      </w:r>
    </w:p>
    <w:p>
      <w:pPr>
        <w:spacing w:after="0" w:before="20"/>
        <w:jc w:val="center"/>
      </w:pPr>
      <w:hyperlink w:history="1" r:id="rIdwk76miliy73kzesiinxqu">
        <w:r>
          <w:rPr>
            <w:rFonts w:ascii="Calibri" w:cs="Calibri" w:eastAsia="Calibri" w:hAnsi="Calibri"/>
            <w:b/>
            <w:bCs/>
            <w:color w:val="B85C3C"/>
            <w:sz w:val="23"/>
            <w:szCs w:val="23"/>
            <w:u w:val="single"/>
          </w:rPr>
          <w:t xml:space="preserve">Find the full series at letsgettoit.net</w:t>
        </w:r>
      </w:hyperlink>
    </w:p>
    <w:sectPr>
      <w:headerReference w:type="default" r:id="rId7"/>
      <w:footerReference w:type="default" r:id="rId8"/>
      <w:pgSz w:w="12240" w:h="15840" w:orient="portrait"/>
      <w:pgMar w:top="1080" w:right="1440" w:bottom="108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8D9CD" w:sz="6" w:space="6"/>
      </w:pBdr>
      <w:tabs>
        <w:tab w:val="right" w:pos="9360"/>
      </w:tabs>
    </w:pPr>
    <w:hyperlink w:history="1" r:id="rId3kpzyn9taovnzejng171f">
      <w:r>
        <w:rPr>
          <w:rFonts w:ascii="Calibri" w:cs="Calibri" w:eastAsia="Calibri" w:hAnsi="Calibri"/>
          <w:color w:val="B85C3C"/>
          <w:sz w:val="16"/>
          <w:szCs w:val="16"/>
          <w:u w:val="single"/>
        </w:rPr>
        <w:t xml:space="preserve">Edward Larkstone  |  Let’s Get to It  |  letsgettoit.net</w:t>
      </w:r>
    </w:hyperlink>
    <w:r>
      <w:rPr>
        <w:rFonts w:ascii="Calibri" w:cs="Calibri" w:eastAsia="Calibri" w:hAnsi="Calibri"/>
        <w:color w:val="7A6B62"/>
        <w:sz w:val="16"/>
        <w:szCs w:val="16"/>
      </w:rPr>
      <w:t xml:space="preserve">	Page </w:t>
    </w:r>
  </w:p>
  <w:p>
    <w:pPr>
      <w:spacing w:after="0" w:before="20"/>
    </w:pPr>
    <w:r>
      <w:rPr>
        <w:rFonts w:ascii="Calibri" w:cs="Calibri" w:eastAsia="Calibri" w:hAnsi="Calibri"/>
        <w:i/>
        <w:iCs/>
        <w:color w:val="7A6B62"/>
        <w:sz w:val="14"/>
        <w:szCs w:val="14"/>
      </w:rPr>
      <w:t xml:space="preserve">© Let’s Get to It. Educational use only. Not a substitute for therapy or professional clinical care.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85C3C" w:sz="6" w:space="6"/>
      </w:pBdr>
      <w:tabs>
        <w:tab w:val="right" w:pos="9360"/>
      </w:tabs>
    </w:pPr>
    <w:r>
      <w:rPr>
        <w:rFonts w:ascii="Georgia" w:cs="Georgia" w:eastAsia="Georgia" w:hAnsi="Georgia"/>
        <w:b/>
        <w:bCs/>
        <w:color w:val="B85C3C"/>
        <w:sz w:val="18"/>
        <w:szCs w:val="18"/>
      </w:rPr>
      <w:t xml:space="preserve">LET’S GET TO IT</w:t>
    </w:r>
    <w:r>
      <w:rPr>
        <w:rFonts w:ascii="Calibri" w:cs="Calibri" w:eastAsia="Calibri" w:hAnsi="Calibri"/>
        <w:color w:val="7A6B62"/>
        <w:sz w:val="18"/>
        <w:szCs w:val="18"/>
      </w:rPr>
      <w:t xml:space="preserve">	A free tool from the Guilt &amp; Resentment series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8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D332E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wk76miliy73kzesiinxqu" Type="http://schemas.openxmlformats.org/officeDocument/2006/relationships/hyperlink" Target="https://letsgettoit.net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kpzyn9taovnzejng171f" Type="http://schemas.openxmlformats.org/officeDocument/2006/relationships/hyperlink" Target="https://letsgettoit.net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2026-08-30T06:51:39.006Z</dcterms:created>
  <dcterms:modified xsi:type="dcterms:W3CDTF">2026-08-30T06:51:39.006Z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