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60"/>
      </w:pPr>
      <w:r>
        <w:t xml:space="preserve"/>
      </w:r>
    </w:p>
    <w:p>
      <w:pPr>
        <w:spacing w:after="0" w:before="0"/>
      </w:pPr>
      <w:r>
        <w:rPr>
          <w:rFonts w:ascii="Calibri" w:cs="Calibri" w:eastAsia="Calibri" w:hAnsi="Calibri"/>
          <w:b/>
          <w:bCs/>
          <w:caps/>
          <w:color w:val="7A6B62"/>
          <w:sz w:val="17"/>
          <w:szCs w:val="17"/>
        </w:rPr>
        <w:t xml:space="preserve">A FREE STARTING-POINT TOOL</w:t>
      </w:r>
    </w:p>
    <w:p>
      <w:pPr>
        <w:spacing w:after="0" w:before="16"/>
      </w:pPr>
      <w:r>
        <w:rPr>
          <w:rFonts w:ascii="Georgia" w:cs="Georgia" w:eastAsia="Georgia" w:hAnsi="Georgia"/>
          <w:b/>
          <w:bCs/>
          <w:color w:val="B85C3C"/>
          <w:sz w:val="36"/>
          <w:szCs w:val="36"/>
        </w:rPr>
        <w:t xml:space="preserve">The Brain Dump</w:t>
      </w:r>
    </w:p>
    <w:p>
      <w:pPr>
        <w:spacing w:after="90" w:before="14"/>
      </w:pPr>
      <w:r>
        <w:rPr>
          <w:rFonts w:ascii="Calibri" w:cs="Calibri" w:eastAsia="Calibri" w:hAnsi="Calibri"/>
          <w:i/>
          <w:iCs/>
          <w:color w:val="7A6B62"/>
          <w:sz w:val="20"/>
          <w:szCs w:val="20"/>
        </w:rPr>
        <w:t xml:space="preserve">Get it out of your head and onto paper — and finally see it with fresh eyes.</w:t>
      </w:r>
    </w:p>
    <w:p>
      <w:pPr>
        <w:spacing w:after="100" w:before="0"/>
      </w:pPr>
      <w:r>
        <w:rPr>
          <w:rFonts w:ascii="Calibri" w:cs="Calibri" w:eastAsia="Calibri" w:hAnsi="Calibri"/>
          <w:color w:val="3D332E"/>
          <w:sz w:val="20"/>
          <w:szCs w:val="20"/>
        </w:rPr>
        <w:t xml:space="preserve">Change almost always starts the same way: you have to get the swirl OUT. When it’s all crammed in your head — the worries, the to-dos, the feelings, the decision you can’t make — it just spins. On paper, it stops spinning. You can see it, sort it, and take the first real step. A brain dump is the simplest tool there is, and one of the most powerful. It’s where getting unstuck begins.</w:t>
      </w:r>
    </w:p>
    <w:p>
      <w:pPr>
        <w:spacing w:after="40" w:before="0"/>
      </w:pPr>
      <w:r>
        <w:rPr>
          <w:rFonts w:ascii="Calibri" w:cs="Calibri" w:eastAsia="Calibri" w:hAnsi="Calibri"/>
          <w:b/>
          <w:bCs/>
          <w:color w:val="8C4530"/>
          <w:sz w:val="20"/>
          <w:szCs w:val="20"/>
        </w:rPr>
        <w:t xml:space="preserve">How to do a brain dump (5 minutes)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
        <w:gridCol w:w="8640"/>
      </w:tblGrid>
      <w:tr>
        <w:tc>
          <w:tcPr>
            <w:tcW w:type="dxa" w:w="720"/>
            <w:tcBorders>
              <w:top w:val="single" w:color="B85C3C" w:sz="6"/>
              <w:left w:val="single" w:color="B85C3C" w:sz="6"/>
              <w:bottom w:val="single" w:color="B85C3C" w:sz="6"/>
              <w:right w:val="single" w:color="B85C3C" w:sz="6"/>
            </w:tcBorders>
            <w:shd w:fill="B85C3C" w:val="clear"/>
            <w:tcMar>
              <w:top w:type="dxa" w:w="60"/>
              <w:left w:type="dxa" w:w="20"/>
              <w:bottom w:type="dxa" w:w="60"/>
              <w:right w:type="dxa" w:w="20"/>
            </w:tcMar>
            <w:vAlign w:val="center"/>
          </w:tcPr>
          <w:p>
            <w:pPr>
              <w:jc w:val="center"/>
            </w:pPr>
            <w:r>
              <w:rPr>
                <w:rFonts w:ascii="Georgia" w:cs="Georgia" w:eastAsia="Georgia" w:hAnsi="Georgia"/>
                <w:b/>
                <w:bCs/>
                <w:color w:val="FFFFFF"/>
                <w:sz w:val="24"/>
                <w:szCs w:val="24"/>
              </w:rPr>
              <w:t xml:space="preserve">1</w:t>
            </w:r>
          </w:p>
        </w:tc>
        <w:tc>
          <w:tcPr>
            <w:tcW w:type="dxa" w:w="8640"/>
            <w:tcBorders>
              <w:top w:val="single" w:color="E8D9CD" w:sz="6"/>
              <w:left w:val="single" w:color="E8D9CD" w:sz="6"/>
              <w:bottom w:val="single" w:color="E8D9CD" w:sz="6"/>
              <w:right w:val="single" w:color="E8D9CD" w:sz="6"/>
            </w:tcBorders>
            <w:shd w:fill="FDF8F2" w:val="clear"/>
            <w:tcMar>
              <w:top w:type="dxa" w:w="70"/>
              <w:left w:type="dxa" w:w="170"/>
              <w:bottom w:type="dxa" w:w="70"/>
              <w:right w:type="dxa" w:w="150"/>
            </w:tcMar>
          </w:tcPr>
          <w:p>
            <w:pPr>
              <w:spacing w:after="10" w:before="0"/>
            </w:pPr>
            <w:r>
              <w:rPr>
                <w:rFonts w:ascii="Calibri" w:cs="Calibri" w:eastAsia="Calibri" w:hAnsi="Calibri"/>
                <w:b/>
                <w:bCs/>
                <w:color w:val="8C4530"/>
                <w:sz w:val="21"/>
                <w:szCs w:val="21"/>
              </w:rPr>
              <w:t xml:space="preserve">Set a timer — 5 to 10 minutes</w:t>
            </w:r>
          </w:p>
          <w:p>
            <w:r>
              <w:rPr>
                <w:rFonts w:ascii="Calibri" w:cs="Calibri" w:eastAsia="Calibri" w:hAnsi="Calibri"/>
                <w:color w:val="3D332E"/>
                <w:sz w:val="20"/>
                <w:szCs w:val="20"/>
              </w:rPr>
              <w:t xml:space="preserve">Grab any paper. No app needed. Give yourself permission that this is just for you.</w:t>
            </w:r>
          </w:p>
        </w:tc>
      </w:tr>
    </w:tbl>
    <w:p>
      <w:pPr>
        <w:spacing w:after="0" w:before="4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
        <w:gridCol w:w="8640"/>
      </w:tblGrid>
      <w:tr>
        <w:tc>
          <w:tcPr>
            <w:tcW w:type="dxa" w:w="720"/>
            <w:tcBorders>
              <w:top w:val="single" w:color="B85C3C" w:sz="6"/>
              <w:left w:val="single" w:color="B85C3C" w:sz="6"/>
              <w:bottom w:val="single" w:color="B85C3C" w:sz="6"/>
              <w:right w:val="single" w:color="B85C3C" w:sz="6"/>
            </w:tcBorders>
            <w:shd w:fill="B85C3C" w:val="clear"/>
            <w:tcMar>
              <w:top w:type="dxa" w:w="60"/>
              <w:left w:type="dxa" w:w="20"/>
              <w:bottom w:type="dxa" w:w="60"/>
              <w:right w:type="dxa" w:w="20"/>
            </w:tcMar>
            <w:vAlign w:val="center"/>
          </w:tcPr>
          <w:p>
            <w:pPr>
              <w:jc w:val="center"/>
            </w:pPr>
            <w:r>
              <w:rPr>
                <w:rFonts w:ascii="Georgia" w:cs="Georgia" w:eastAsia="Georgia" w:hAnsi="Georgia"/>
                <w:b/>
                <w:bCs/>
                <w:color w:val="FFFFFF"/>
                <w:sz w:val="24"/>
                <w:szCs w:val="24"/>
              </w:rPr>
              <w:t xml:space="preserve">2</w:t>
            </w:r>
          </w:p>
        </w:tc>
        <w:tc>
          <w:tcPr>
            <w:tcW w:type="dxa" w:w="8640"/>
            <w:tcBorders>
              <w:top w:val="single" w:color="E8D9CD" w:sz="6"/>
              <w:left w:val="single" w:color="E8D9CD" w:sz="6"/>
              <w:bottom w:val="single" w:color="E8D9CD" w:sz="6"/>
              <w:right w:val="single" w:color="E8D9CD" w:sz="6"/>
            </w:tcBorders>
            <w:shd w:fill="FDF8F2" w:val="clear"/>
            <w:tcMar>
              <w:top w:type="dxa" w:w="70"/>
              <w:left w:type="dxa" w:w="170"/>
              <w:bottom w:type="dxa" w:w="70"/>
              <w:right w:type="dxa" w:w="150"/>
            </w:tcMar>
          </w:tcPr>
          <w:p>
            <w:pPr>
              <w:spacing w:after="10" w:before="0"/>
            </w:pPr>
            <w:r>
              <w:rPr>
                <w:rFonts w:ascii="Calibri" w:cs="Calibri" w:eastAsia="Calibri" w:hAnsi="Calibri"/>
                <w:b/>
                <w:bCs/>
                <w:color w:val="8C4530"/>
                <w:sz w:val="21"/>
                <w:szCs w:val="21"/>
              </w:rPr>
              <w:t xml:space="preserve">Write down everything</w:t>
            </w:r>
          </w:p>
          <w:p>
            <w:r>
              <w:rPr>
                <w:rFonts w:ascii="Calibri" w:cs="Calibri" w:eastAsia="Calibri" w:hAnsi="Calibri"/>
                <w:color w:val="3D332E"/>
                <w:sz w:val="20"/>
                <w:szCs w:val="20"/>
              </w:rPr>
              <w:t xml:space="preserve">Every thought, worry, task, feeling, and ‘what if’ — exactly as it comes. Messy is the point.</w:t>
            </w:r>
          </w:p>
        </w:tc>
      </w:tr>
    </w:tbl>
    <w:p>
      <w:pPr>
        <w:spacing w:after="0" w:before="4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
        <w:gridCol w:w="8640"/>
      </w:tblGrid>
      <w:tr>
        <w:tc>
          <w:tcPr>
            <w:tcW w:type="dxa" w:w="720"/>
            <w:tcBorders>
              <w:top w:val="single" w:color="B85C3C" w:sz="6"/>
              <w:left w:val="single" w:color="B85C3C" w:sz="6"/>
              <w:bottom w:val="single" w:color="B85C3C" w:sz="6"/>
              <w:right w:val="single" w:color="B85C3C" w:sz="6"/>
            </w:tcBorders>
            <w:shd w:fill="B85C3C" w:val="clear"/>
            <w:tcMar>
              <w:top w:type="dxa" w:w="60"/>
              <w:left w:type="dxa" w:w="20"/>
              <w:bottom w:type="dxa" w:w="60"/>
              <w:right w:type="dxa" w:w="20"/>
            </w:tcMar>
            <w:vAlign w:val="center"/>
          </w:tcPr>
          <w:p>
            <w:pPr>
              <w:jc w:val="center"/>
            </w:pPr>
            <w:r>
              <w:rPr>
                <w:rFonts w:ascii="Georgia" w:cs="Georgia" w:eastAsia="Georgia" w:hAnsi="Georgia"/>
                <w:b/>
                <w:bCs/>
                <w:color w:val="FFFFFF"/>
                <w:sz w:val="24"/>
                <w:szCs w:val="24"/>
              </w:rPr>
              <w:t xml:space="preserve">3</w:t>
            </w:r>
          </w:p>
        </w:tc>
        <w:tc>
          <w:tcPr>
            <w:tcW w:type="dxa" w:w="8640"/>
            <w:tcBorders>
              <w:top w:val="single" w:color="E8D9CD" w:sz="6"/>
              <w:left w:val="single" w:color="E8D9CD" w:sz="6"/>
              <w:bottom w:val="single" w:color="E8D9CD" w:sz="6"/>
              <w:right w:val="single" w:color="E8D9CD" w:sz="6"/>
            </w:tcBorders>
            <w:shd w:fill="FDF8F2" w:val="clear"/>
            <w:tcMar>
              <w:top w:type="dxa" w:w="70"/>
              <w:left w:type="dxa" w:w="170"/>
              <w:bottom w:type="dxa" w:w="70"/>
              <w:right w:type="dxa" w:w="150"/>
            </w:tcMar>
          </w:tcPr>
          <w:p>
            <w:pPr>
              <w:spacing w:after="10" w:before="0"/>
            </w:pPr>
            <w:r>
              <w:rPr>
                <w:rFonts w:ascii="Calibri" w:cs="Calibri" w:eastAsia="Calibri" w:hAnsi="Calibri"/>
                <w:b/>
                <w:bCs/>
                <w:color w:val="8C4530"/>
                <w:sz w:val="21"/>
                <w:szCs w:val="21"/>
              </w:rPr>
              <w:t xml:space="preserve">Don’t edit, fix, or organize</w:t>
            </w:r>
          </w:p>
          <w:p>
            <w:r>
              <w:rPr>
                <w:rFonts w:ascii="Calibri" w:cs="Calibri" w:eastAsia="Calibri" w:hAnsi="Calibri"/>
                <w:color w:val="3D332E"/>
                <w:sz w:val="20"/>
                <w:szCs w:val="20"/>
              </w:rPr>
              <w:t xml:space="preserve">No neat handwriting, no order, no judging. You’re emptying the drawer, not tidying it — yet.</w:t>
            </w:r>
          </w:p>
        </w:tc>
      </w:tr>
    </w:tbl>
    <w:p>
      <w:pPr>
        <w:spacing w:after="0" w:before="4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
        <w:gridCol w:w="8640"/>
      </w:tblGrid>
      <w:tr>
        <w:tc>
          <w:tcPr>
            <w:tcW w:type="dxa" w:w="720"/>
            <w:tcBorders>
              <w:top w:val="single" w:color="B85C3C" w:sz="6"/>
              <w:left w:val="single" w:color="B85C3C" w:sz="6"/>
              <w:bottom w:val="single" w:color="B85C3C" w:sz="6"/>
              <w:right w:val="single" w:color="B85C3C" w:sz="6"/>
            </w:tcBorders>
            <w:shd w:fill="B85C3C" w:val="clear"/>
            <w:tcMar>
              <w:top w:type="dxa" w:w="60"/>
              <w:left w:type="dxa" w:w="20"/>
              <w:bottom w:type="dxa" w:w="60"/>
              <w:right w:type="dxa" w:w="20"/>
            </w:tcMar>
            <w:vAlign w:val="center"/>
          </w:tcPr>
          <w:p>
            <w:pPr>
              <w:jc w:val="center"/>
            </w:pPr>
            <w:r>
              <w:rPr>
                <w:rFonts w:ascii="Georgia" w:cs="Georgia" w:eastAsia="Georgia" w:hAnsi="Georgia"/>
                <w:b/>
                <w:bCs/>
                <w:color w:val="FFFFFF"/>
                <w:sz w:val="24"/>
                <w:szCs w:val="24"/>
              </w:rPr>
              <w:t xml:space="preserve">4</w:t>
            </w:r>
          </w:p>
        </w:tc>
        <w:tc>
          <w:tcPr>
            <w:tcW w:type="dxa" w:w="8640"/>
            <w:tcBorders>
              <w:top w:val="single" w:color="E8D9CD" w:sz="6"/>
              <w:left w:val="single" w:color="E8D9CD" w:sz="6"/>
              <w:bottom w:val="single" w:color="E8D9CD" w:sz="6"/>
              <w:right w:val="single" w:color="E8D9CD" w:sz="6"/>
            </w:tcBorders>
            <w:shd w:fill="FDF8F2" w:val="clear"/>
            <w:tcMar>
              <w:top w:type="dxa" w:w="70"/>
              <w:left w:type="dxa" w:w="170"/>
              <w:bottom w:type="dxa" w:w="70"/>
              <w:right w:type="dxa" w:w="150"/>
            </w:tcMar>
          </w:tcPr>
          <w:p>
            <w:pPr>
              <w:spacing w:after="10" w:before="0"/>
            </w:pPr>
            <w:r>
              <w:rPr>
                <w:rFonts w:ascii="Calibri" w:cs="Calibri" w:eastAsia="Calibri" w:hAnsi="Calibri"/>
                <w:b/>
                <w:bCs/>
                <w:color w:val="8C4530"/>
                <w:sz w:val="21"/>
                <w:szCs w:val="21"/>
              </w:rPr>
              <w:t xml:space="preserve">Now look with fresh eyes</w:t>
            </w:r>
          </w:p>
          <w:p>
            <w:r>
              <w:rPr>
                <w:rFonts w:ascii="Calibri" w:cs="Calibri" w:eastAsia="Calibri" w:hAnsi="Calibri"/>
                <w:color w:val="3D332E"/>
                <w:sz w:val="20"/>
                <w:szCs w:val="20"/>
              </w:rPr>
              <w:t xml:space="preserve">Read it back like it’s someone else’s. Circle what actually matters. Cross out what doesn’t. Pick ONE small next step.</w:t>
            </w:r>
          </w:p>
        </w:tc>
      </w:tr>
    </w:tbl>
    <w:p>
      <w:pPr>
        <w:spacing w:after="0" w:before="160"/>
      </w:pPr>
      <w:r>
        <w:t xml:space="preserve"/>
      </w:r>
    </w:p>
    <w:p>
      <w:pPr>
        <w:spacing w:after="40" w:before="0"/>
      </w:pPr>
      <w:r>
        <w:rPr>
          <w:rFonts w:ascii="Calibri" w:cs="Calibri" w:eastAsia="Calibri" w:hAnsi="Calibri"/>
          <w:b/>
          <w:bCs/>
          <w:color w:val="8C4530"/>
          <w:sz w:val="20"/>
          <w:szCs w:val="20"/>
        </w:rPr>
        <w:t xml:space="preserve">Reach for it whenever you’re…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E8D9CD" w:sz="6"/>
              <w:left w:val="single" w:color="E8D9CD" w:sz="6"/>
              <w:bottom w:val="single" w:color="E8D9CD" w:sz="6"/>
              <w:right w:val="single" w:color="E8D9CD" w:sz="6"/>
            </w:tcBorders>
            <w:shd w:fill="FDF8F2" w:val="clear"/>
            <w:tcMar>
              <w:top w:type="dxa" w:w="60"/>
              <w:left w:type="dxa" w:w="150"/>
              <w:bottom w:type="dxa" w:w="60"/>
              <w:right w:type="dxa" w:w="140"/>
            </w:tcMar>
          </w:tcPr>
          <w:p>
            <w:r>
              <w:rPr>
                <w:rFonts w:ascii="Calibri" w:cs="Calibri" w:eastAsia="Calibri" w:hAnsi="Calibri"/>
                <w:b/>
                <w:bCs/>
                <w:color w:val="C8A55B"/>
                <w:sz w:val="20"/>
                <w:szCs w:val="20"/>
              </w:rPr>
              <w:t xml:space="preserve">•  </w:t>
            </w:r>
            <w:r>
              <w:rPr>
                <w:rFonts w:ascii="Calibri" w:cs="Calibri" w:eastAsia="Calibri" w:hAnsi="Calibri"/>
                <w:color w:val="3D332E"/>
                <w:sz w:val="20"/>
                <w:szCs w:val="20"/>
              </w:rPr>
              <w:t xml:space="preserve">Overwhelmed and don’t know where to start</w:t>
            </w:r>
          </w:p>
        </w:tc>
        <w:tc>
          <w:tcPr>
            <w:tcW w:type="dxa" w:w="4680"/>
            <w:tcBorders>
              <w:top w:val="single" w:color="E8D9CD" w:sz="6"/>
              <w:left w:val="single" w:color="E8D9CD" w:sz="6"/>
              <w:bottom w:val="single" w:color="E8D9CD" w:sz="6"/>
              <w:right w:val="single" w:color="E8D9CD" w:sz="6"/>
            </w:tcBorders>
            <w:shd w:fill="FDF8F2" w:val="clear"/>
            <w:tcMar>
              <w:top w:type="dxa" w:w="60"/>
              <w:left w:type="dxa" w:w="150"/>
              <w:bottom w:type="dxa" w:w="60"/>
              <w:right w:type="dxa" w:w="140"/>
            </w:tcMar>
          </w:tcPr>
          <w:p>
            <w:r>
              <w:rPr>
                <w:rFonts w:ascii="Calibri" w:cs="Calibri" w:eastAsia="Calibri" w:hAnsi="Calibri"/>
                <w:b/>
                <w:bCs/>
                <w:color w:val="C8A55B"/>
                <w:sz w:val="20"/>
                <w:szCs w:val="20"/>
              </w:rPr>
              <w:t xml:space="preserve">•  </w:t>
            </w:r>
            <w:r>
              <w:rPr>
                <w:rFonts w:ascii="Calibri" w:cs="Calibri" w:eastAsia="Calibri" w:hAnsi="Calibri"/>
                <w:color w:val="3D332E"/>
                <w:sz w:val="20"/>
                <w:szCs w:val="20"/>
              </w:rPr>
              <w:t xml:space="preserve">Lying awake with racing thoughts</w:t>
            </w:r>
          </w:p>
        </w:tc>
      </w:tr>
      <w:tr>
        <w:tc>
          <w:tcPr>
            <w:tcW w:type="dxa" w:w="4680"/>
            <w:tcBorders>
              <w:top w:val="single" w:color="E8D9CD" w:sz="6"/>
              <w:left w:val="single" w:color="E8D9CD" w:sz="6"/>
              <w:bottom w:val="single" w:color="E8D9CD" w:sz="6"/>
              <w:right w:val="single" w:color="E8D9CD" w:sz="6"/>
            </w:tcBorders>
            <w:shd w:fill="F4DCD0" w:val="clear"/>
            <w:tcMar>
              <w:top w:type="dxa" w:w="60"/>
              <w:left w:type="dxa" w:w="150"/>
              <w:bottom w:type="dxa" w:w="60"/>
              <w:right w:type="dxa" w:w="140"/>
            </w:tcMar>
          </w:tcPr>
          <w:p>
            <w:r>
              <w:rPr>
                <w:rFonts w:ascii="Calibri" w:cs="Calibri" w:eastAsia="Calibri" w:hAnsi="Calibri"/>
                <w:b/>
                <w:bCs/>
                <w:color w:val="C8A55B"/>
                <w:sz w:val="20"/>
                <w:szCs w:val="20"/>
              </w:rPr>
              <w:t xml:space="preserve">•  </w:t>
            </w:r>
            <w:r>
              <w:rPr>
                <w:rFonts w:ascii="Calibri" w:cs="Calibri" w:eastAsia="Calibri" w:hAnsi="Calibri"/>
                <w:color w:val="3D332E"/>
                <w:sz w:val="20"/>
                <w:szCs w:val="20"/>
              </w:rPr>
              <w:t xml:space="preserve">Facing a big decision</w:t>
            </w:r>
          </w:p>
        </w:tc>
        <w:tc>
          <w:tcPr>
            <w:tcW w:type="dxa" w:w="4680"/>
            <w:tcBorders>
              <w:top w:val="single" w:color="E8D9CD" w:sz="6"/>
              <w:left w:val="single" w:color="E8D9CD" w:sz="6"/>
              <w:bottom w:val="single" w:color="E8D9CD" w:sz="6"/>
              <w:right w:val="single" w:color="E8D9CD" w:sz="6"/>
            </w:tcBorders>
            <w:shd w:fill="F4DCD0" w:val="clear"/>
            <w:tcMar>
              <w:top w:type="dxa" w:w="60"/>
              <w:left w:type="dxa" w:w="150"/>
              <w:bottom w:type="dxa" w:w="60"/>
              <w:right w:type="dxa" w:w="140"/>
            </w:tcMar>
          </w:tcPr>
          <w:p>
            <w:r>
              <w:rPr>
                <w:rFonts w:ascii="Calibri" w:cs="Calibri" w:eastAsia="Calibri" w:hAnsi="Calibri"/>
                <w:b/>
                <w:bCs/>
                <w:color w:val="C8A55B"/>
                <w:sz w:val="20"/>
                <w:szCs w:val="20"/>
              </w:rPr>
              <w:t xml:space="preserve">•  </w:t>
            </w:r>
            <w:r>
              <w:rPr>
                <w:rFonts w:ascii="Calibri" w:cs="Calibri" w:eastAsia="Calibri" w:hAnsi="Calibri"/>
                <w:color w:val="3D332E"/>
                <w:sz w:val="20"/>
                <w:szCs w:val="20"/>
              </w:rPr>
              <w:t xml:space="preserve">Stuck, procrastinating, or frozen</w:t>
            </w:r>
          </w:p>
        </w:tc>
      </w:tr>
      <w:tr>
        <w:tc>
          <w:tcPr>
            <w:tcW w:type="dxa" w:w="4680"/>
            <w:tcBorders>
              <w:top w:val="single" w:color="E8D9CD" w:sz="6"/>
              <w:left w:val="single" w:color="E8D9CD" w:sz="6"/>
              <w:bottom w:val="single" w:color="E8D9CD" w:sz="6"/>
              <w:right w:val="single" w:color="E8D9CD" w:sz="6"/>
            </w:tcBorders>
            <w:shd w:fill="FDF8F2" w:val="clear"/>
            <w:tcMar>
              <w:top w:type="dxa" w:w="60"/>
              <w:left w:type="dxa" w:w="150"/>
              <w:bottom w:type="dxa" w:w="60"/>
              <w:right w:type="dxa" w:w="140"/>
            </w:tcMar>
          </w:tcPr>
          <w:p>
            <w:r>
              <w:rPr>
                <w:rFonts w:ascii="Calibri" w:cs="Calibri" w:eastAsia="Calibri" w:hAnsi="Calibri"/>
                <w:b/>
                <w:bCs/>
                <w:color w:val="C8A55B"/>
                <w:sz w:val="20"/>
                <w:szCs w:val="20"/>
              </w:rPr>
              <w:t xml:space="preserve">•  </w:t>
            </w:r>
            <w:r>
              <w:rPr>
                <w:rFonts w:ascii="Calibri" w:cs="Calibri" w:eastAsia="Calibri" w:hAnsi="Calibri"/>
                <w:color w:val="3D332E"/>
                <w:sz w:val="20"/>
                <w:szCs w:val="20"/>
              </w:rPr>
              <w:t xml:space="preserve">Angry or hurt and need to vent it out</w:t>
            </w:r>
          </w:p>
        </w:tc>
        <w:tc>
          <w:tcPr>
            <w:tcW w:type="dxa" w:w="4680"/>
            <w:tcBorders>
              <w:top w:val="single" w:color="E8D9CD" w:sz="6"/>
              <w:left w:val="single" w:color="E8D9CD" w:sz="6"/>
              <w:bottom w:val="single" w:color="E8D9CD" w:sz="6"/>
              <w:right w:val="single" w:color="E8D9CD" w:sz="6"/>
            </w:tcBorders>
            <w:shd w:fill="FDF8F2" w:val="clear"/>
            <w:tcMar>
              <w:top w:type="dxa" w:w="60"/>
              <w:left w:type="dxa" w:w="150"/>
              <w:bottom w:type="dxa" w:w="60"/>
              <w:right w:type="dxa" w:w="140"/>
            </w:tcMar>
          </w:tcPr>
          <w:p>
            <w:r>
              <w:rPr>
                <w:rFonts w:ascii="Calibri" w:cs="Calibri" w:eastAsia="Calibri" w:hAnsi="Calibri"/>
                <w:b/>
                <w:bCs/>
                <w:color w:val="C8A55B"/>
                <w:sz w:val="20"/>
                <w:szCs w:val="20"/>
              </w:rPr>
              <w:t xml:space="preserve">•  </w:t>
            </w:r>
            <w:r>
              <w:rPr>
                <w:rFonts w:ascii="Calibri" w:cs="Calibri" w:eastAsia="Calibri" w:hAnsi="Calibri"/>
                <w:color w:val="3D332E"/>
                <w:sz w:val="20"/>
                <w:szCs w:val="20"/>
              </w:rPr>
              <w:t xml:space="preserve">Grieving or carrying something heavy</w:t>
            </w:r>
          </w:p>
        </w:tc>
      </w:tr>
      <w:tr>
        <w:tc>
          <w:tcPr>
            <w:tcW w:type="dxa" w:w="4680"/>
            <w:tcBorders>
              <w:top w:val="single" w:color="E8D9CD" w:sz="6"/>
              <w:left w:val="single" w:color="E8D9CD" w:sz="6"/>
              <w:bottom w:val="single" w:color="E8D9CD" w:sz="6"/>
              <w:right w:val="single" w:color="E8D9CD" w:sz="6"/>
            </w:tcBorders>
            <w:shd w:fill="F4DCD0" w:val="clear"/>
            <w:tcMar>
              <w:top w:type="dxa" w:w="60"/>
              <w:left w:type="dxa" w:w="150"/>
              <w:bottom w:type="dxa" w:w="60"/>
              <w:right w:type="dxa" w:w="140"/>
            </w:tcMar>
          </w:tcPr>
          <w:p>
            <w:r>
              <w:rPr>
                <w:rFonts w:ascii="Calibri" w:cs="Calibri" w:eastAsia="Calibri" w:hAnsi="Calibri"/>
                <w:b/>
                <w:bCs/>
                <w:color w:val="C8A55B"/>
                <w:sz w:val="20"/>
                <w:szCs w:val="20"/>
              </w:rPr>
              <w:t xml:space="preserve">•  </w:t>
            </w:r>
            <w:r>
              <w:rPr>
                <w:rFonts w:ascii="Calibri" w:cs="Calibri" w:eastAsia="Calibri" w:hAnsi="Calibri"/>
                <w:color w:val="3D332E"/>
                <w:sz w:val="20"/>
                <w:szCs w:val="20"/>
              </w:rPr>
              <w:t xml:space="preserve">Starting a goal or a new chapter</w:t>
            </w:r>
          </w:p>
        </w:tc>
        <w:tc>
          <w:tcPr>
            <w:tcW w:type="dxa" w:w="4680"/>
            <w:tcBorders>
              <w:top w:val="single" w:color="E8D9CD" w:sz="6"/>
              <w:left w:val="single" w:color="E8D9CD" w:sz="6"/>
              <w:bottom w:val="single" w:color="E8D9CD" w:sz="6"/>
              <w:right w:val="single" w:color="E8D9CD" w:sz="6"/>
            </w:tcBorders>
            <w:shd w:fill="F4DCD0" w:val="clear"/>
            <w:tcMar>
              <w:top w:type="dxa" w:w="60"/>
              <w:left w:type="dxa" w:w="150"/>
              <w:bottom w:type="dxa" w:w="60"/>
              <w:right w:type="dxa" w:w="140"/>
            </w:tcMar>
          </w:tcPr>
          <w:p>
            <w:r>
              <w:rPr>
                <w:rFonts w:ascii="Calibri" w:cs="Calibri" w:eastAsia="Calibri" w:hAnsi="Calibri"/>
                <w:b/>
                <w:bCs/>
                <w:color w:val="C8A55B"/>
                <w:sz w:val="20"/>
                <w:szCs w:val="20"/>
              </w:rPr>
              <w:t xml:space="preserve">•  </w:t>
            </w:r>
            <w:r>
              <w:rPr>
                <w:rFonts w:ascii="Calibri" w:cs="Calibri" w:eastAsia="Calibri" w:hAnsi="Calibri"/>
                <w:color w:val="3D332E"/>
                <w:sz w:val="20"/>
                <w:szCs w:val="20"/>
              </w:rPr>
              <w:t xml:space="preserve">Prepping for a hard conversation</w:t>
            </w:r>
          </w:p>
        </w:tc>
      </w:tr>
      <w:tr>
        <w:tc>
          <w:tcPr>
            <w:tcW w:type="dxa" w:w="4680"/>
            <w:tcBorders>
              <w:top w:val="single" w:color="E8D9CD" w:sz="6"/>
              <w:left w:val="single" w:color="E8D9CD" w:sz="6"/>
              <w:bottom w:val="single" w:color="E8D9CD" w:sz="6"/>
              <w:right w:val="single" w:color="E8D9CD" w:sz="6"/>
            </w:tcBorders>
            <w:shd w:fill="FDF8F2" w:val="clear"/>
            <w:tcMar>
              <w:top w:type="dxa" w:w="60"/>
              <w:left w:type="dxa" w:w="150"/>
              <w:bottom w:type="dxa" w:w="60"/>
              <w:right w:type="dxa" w:w="140"/>
            </w:tcMar>
          </w:tcPr>
          <w:p>
            <w:r>
              <w:rPr>
                <w:rFonts w:ascii="Calibri" w:cs="Calibri" w:eastAsia="Calibri" w:hAnsi="Calibri"/>
                <w:b/>
                <w:bCs/>
                <w:color w:val="C8A55B"/>
                <w:sz w:val="20"/>
                <w:szCs w:val="20"/>
              </w:rPr>
              <w:t xml:space="preserve">•  </w:t>
            </w:r>
            <w:r>
              <w:rPr>
                <w:rFonts w:ascii="Calibri" w:cs="Calibri" w:eastAsia="Calibri" w:hAnsi="Calibri"/>
                <w:color w:val="3D332E"/>
                <w:sz w:val="20"/>
                <w:szCs w:val="20"/>
              </w:rPr>
              <w:t xml:space="preserve">Planning a chaotic week</w:t>
            </w:r>
          </w:p>
        </w:tc>
        <w:tc>
          <w:tcPr>
            <w:tcW w:type="dxa" w:w="4680"/>
            <w:tcBorders>
              <w:top w:val="single" w:color="E8D9CD" w:sz="6"/>
              <w:left w:val="single" w:color="E8D9CD" w:sz="6"/>
              <w:bottom w:val="single" w:color="E8D9CD" w:sz="6"/>
              <w:right w:val="single" w:color="E8D9CD" w:sz="6"/>
            </w:tcBorders>
            <w:shd w:fill="FDF8F2" w:val="clear"/>
            <w:tcMar>
              <w:top w:type="dxa" w:w="60"/>
              <w:left w:type="dxa" w:w="150"/>
              <w:bottom w:type="dxa" w:w="60"/>
              <w:right w:type="dxa" w:w="140"/>
            </w:tcMar>
          </w:tcPr>
          <w:p>
            <w:r>
              <w:rPr>
                <w:rFonts w:ascii="Calibri" w:cs="Calibri" w:eastAsia="Calibri" w:hAnsi="Calibri"/>
                <w:b/>
                <w:bCs/>
                <w:color w:val="C8A55B"/>
                <w:sz w:val="20"/>
                <w:szCs w:val="20"/>
              </w:rPr>
              <w:t xml:space="preserve">•  </w:t>
            </w:r>
            <w:r>
              <w:rPr>
                <w:rFonts w:ascii="Calibri" w:cs="Calibri" w:eastAsia="Calibri" w:hAnsi="Calibri"/>
                <w:color w:val="3D332E"/>
                <w:sz w:val="20"/>
                <w:szCs w:val="20"/>
              </w:rPr>
              <w:t xml:space="preserve">Just ‘off’ and can’t name why</w:t>
            </w:r>
          </w:p>
        </w:tc>
      </w:tr>
    </w:tbl>
    <w:p>
      <w:pPr>
        <w:spacing w:after="0" w:before="1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85C3C" w:sz="6"/>
              <w:left w:val="single" w:color="B85C3C" w:sz="6"/>
              <w:bottom w:val="single" w:color="B85C3C" w:sz="6"/>
              <w:right w:val="single" w:color="B85C3C" w:sz="6"/>
            </w:tcBorders>
            <w:shd w:fill="B85C3C" w:val="clear"/>
            <w:tcMar>
              <w:top w:type="dxa" w:w="110"/>
              <w:left w:type="dxa" w:w="200"/>
              <w:bottom w:type="dxa" w:w="110"/>
              <w:right w:type="dxa" w:w="200"/>
            </w:tcMar>
          </w:tcPr>
          <w:p>
            <w:pPr>
              <w:spacing w:after="36" w:before="0"/>
            </w:pPr>
            <w:r>
              <w:rPr>
                <w:rFonts w:ascii="Georgia" w:cs="Georgia" w:eastAsia="Georgia" w:hAnsi="Georgia"/>
                <w:b/>
                <w:bCs/>
                <w:color w:val="FFFFFF"/>
                <w:sz w:val="21"/>
                <w:szCs w:val="21"/>
              </w:rPr>
              <w:t xml:space="preserve">Why getting it out gives you fresh eyes</w:t>
            </w:r>
          </w:p>
          <w:p>
            <w:r>
              <w:rPr>
                <w:rFonts w:ascii="Calibri" w:cs="Calibri" w:eastAsia="Calibri" w:hAnsi="Calibri"/>
                <w:i/>
                <w:iCs/>
                <w:color w:val="F4DCD0"/>
                <w:sz w:val="20"/>
                <w:szCs w:val="20"/>
              </w:rPr>
              <w:t xml:space="preserve">A swirling thought feels huge and tangled. The same thought, written down, becomes something you can actually look at — smaller, clearer, and workable. Putting worries and feelings on paper is shown to ease mental load and improve clarity (the research on expressive writing, by Dr. James Pennebaker and others). You can’t change what you can’t see. The brain dump is how you see it — and seeing it is where change starts.</w:t>
            </w:r>
          </w:p>
        </w:tc>
      </w:tr>
    </w:tbl>
    <w:p>
      <w:pPr>
        <w:spacing w:after="0" w:before="200"/>
      </w:pPr>
      <w:r>
        <w:t xml:space="preserve"/>
      </w:r>
    </w:p>
    <w:p>
      <w:pPr>
        <w:spacing w:after="36" w:before="0"/>
        <w:jc w:val="center"/>
      </w:pPr>
      <w:r>
        <w:rPr>
          <w:rFonts w:ascii="Georgia" w:cs="Georgia" w:eastAsia="Georgia" w:hAnsi="Georgia"/>
          <w:b/>
          <w:bCs/>
          <w:color w:val="8C4530"/>
          <w:sz w:val="22"/>
          <w:szCs w:val="22"/>
        </w:rPr>
        <w:t xml:space="preserve">Ready for the next step?</w:t>
      </w:r>
    </w:p>
    <w:p>
      <w:pPr>
        <w:spacing w:after="50" w:before="0"/>
        <w:jc w:val="center"/>
      </w:pPr>
      <w:r>
        <w:rPr>
          <w:rFonts w:ascii="Calibri" w:cs="Calibri" w:eastAsia="Calibri" w:hAnsi="Calibri"/>
          <w:color w:val="3D332E"/>
          <w:sz w:val="20"/>
          <w:szCs w:val="20"/>
        </w:rPr>
        <w:t xml:space="preserve">Once it’s on paper, the </w:t>
      </w:r>
      <w:r>
        <w:rPr>
          <w:rFonts w:ascii="Calibri" w:cs="Calibri" w:eastAsia="Calibri" w:hAnsi="Calibri"/>
          <w:b/>
          <w:bCs/>
          <w:color w:val="3D332E"/>
          <w:sz w:val="20"/>
          <w:szCs w:val="20"/>
        </w:rPr>
        <w:t xml:space="preserve">Let’s Get to It</w:t>
      </w:r>
      <w:r>
        <w:rPr>
          <w:rFonts w:ascii="Calibri" w:cs="Calibri" w:eastAsia="Calibri" w:hAnsi="Calibri"/>
          <w:color w:val="3D332E"/>
          <w:sz w:val="20"/>
          <w:szCs w:val="20"/>
        </w:rPr>
        <w:t xml:space="preserve"> library has therapist-created worksheets to help you take it further — anxiety, overwhelm, decisions, boundaries, relationships, and more. Real tools for whatever your brain dump surfaced.</w:t>
      </w:r>
    </w:p>
    <w:p>
      <w:pPr>
        <w:spacing w:after="0" w:before="16"/>
        <w:jc w:val="center"/>
      </w:pPr>
      <w:hyperlink w:history="1" r:id="rIdvgaaqd2xaph8bkzp0z2q5">
        <w:r>
          <w:rPr>
            <w:rFonts w:ascii="Calibri" w:cs="Calibri" w:eastAsia="Calibri" w:hAnsi="Calibri"/>
            <w:b/>
            <w:bCs/>
            <w:color w:val="B85C3C"/>
            <w:sz w:val="22"/>
            <w:szCs w:val="22"/>
            <w:u w:val="single"/>
          </w:rPr>
          <w:t xml:space="preserve">Explore the full library at letsgettoit.net</w:t>
        </w:r>
      </w:hyperlink>
    </w:p>
    <w:sectPr>
      <w:headerReference w:type="default" r:id="rId7"/>
      <w:footerReference w:type="default" r:id="rId8"/>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8D9CD" w:sz="6" w:space="6"/>
      </w:pBdr>
      <w:tabs>
        <w:tab w:val="right" w:pos="9360"/>
      </w:tabs>
    </w:pPr>
    <w:hyperlink w:history="1" r:id="rId7zv3c5nw7q4qd0tgrzsil">
      <w:r>
        <w:rPr>
          <w:rFonts w:ascii="Calibri" w:cs="Calibri" w:eastAsia="Calibri" w:hAnsi="Calibri"/>
          <w:color w:val="B85C3C"/>
          <w:sz w:val="16"/>
          <w:szCs w:val="16"/>
          <w:u w:val="single"/>
        </w:rPr>
        <w:t xml:space="preserve">Edward Larkstone  |  Let’s Get to It  |  letsgettoit.net</w:t>
      </w:r>
    </w:hyperlink>
    <w:r>
      <w:rPr>
        <w:rFonts w:ascii="Calibri" w:cs="Calibri" w:eastAsia="Calibri" w:hAnsi="Calibri"/>
        <w:color w:val="7A6B62"/>
        <w:sz w:val="16"/>
        <w:szCs w:val="16"/>
      </w:rPr>
      <w:t xml:space="preserve">	Page </w:t>
    </w:r>
  </w:p>
  <w:p>
    <w:pPr>
      <w:spacing w:before="20"/>
    </w:pPr>
    <w:r>
      <w:rPr>
        <w:rFonts w:ascii="Calibri" w:cs="Calibri" w:eastAsia="Calibri" w:hAnsi="Calibri"/>
        <w:i/>
        <w:iCs/>
        <w:color w:val="7A6B62"/>
        <w:sz w:val="14"/>
        <w:szCs w:val="14"/>
      </w:rPr>
      <w:t xml:space="preserve">© Let’s Get to It. Educational use only. Not a substitute for therapy or professional clinical care.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85C3C" w:sz="6" w:space="6"/>
      </w:pBdr>
      <w:tabs>
        <w:tab w:val="right" w:pos="9360"/>
      </w:tabs>
    </w:pPr>
    <w:r>
      <w:rPr>
        <w:rFonts w:ascii="Georgia" w:cs="Georgia" w:eastAsia="Georgia" w:hAnsi="Georgia"/>
        <w:b/>
        <w:bCs/>
        <w:color w:val="B85C3C"/>
        <w:sz w:val="18"/>
        <w:szCs w:val="18"/>
      </w:rPr>
      <w:t xml:space="preserve">LET’S GET TO IT</w:t>
    </w:r>
    <w:r>
      <w:rPr>
        <w:rFonts w:ascii="Calibri" w:cs="Calibri" w:eastAsia="Calibri" w:hAnsi="Calibri"/>
        <w:color w:val="7A6B62"/>
        <w:sz w:val="18"/>
        <w:szCs w:val="18"/>
      </w:rPr>
      <w:t xml:space="preserve">	A free tool to start the process of change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D332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vgaaqd2xaph8bkzp0z2q5" Type="http://schemas.openxmlformats.org/officeDocument/2006/relationships/hyperlink" Target="https://letsgettoit.net"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zv3c5nw7q4qd0tgrzsil" Type="http://schemas.openxmlformats.org/officeDocument/2006/relationships/hyperlink" Target="https://letsgettoit.net"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2026-09-28T23:56:33.120Z</dcterms:created>
  <dcterms:modified xsi:type="dcterms:W3CDTF">2026-09-28T23:56:33.120Z</dcterms:modified>
</cp:coreProperties>
</file>

<file path=docProps/custom.xml><?xml version="1.0" encoding="utf-8"?>
<Properties xmlns="http://schemas.openxmlformats.org/officeDocument/2006/custom-properties" xmlns:vt="http://schemas.openxmlformats.org/officeDocument/2006/docPropsVTypes"/>
</file>