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2B579" w14:textId="77777777" w:rsidR="003C4436" w:rsidRDefault="003C4436">
      <w:pPr>
        <w:spacing w:before="40"/>
      </w:pPr>
    </w:p>
    <w:p w14:paraId="74E8B500" w14:textId="77777777" w:rsidR="003C4436" w:rsidRDefault="00456FF7">
      <w:r>
        <w:rPr>
          <w:b/>
          <w:bCs/>
          <w:caps/>
          <w:color w:val="7A6B62"/>
          <w:sz w:val="17"/>
          <w:szCs w:val="17"/>
        </w:rPr>
        <w:t>FREE PARENTING TOOL</w:t>
      </w:r>
    </w:p>
    <w:p w14:paraId="1E74BD3C" w14:textId="77777777" w:rsidR="003C4436" w:rsidRDefault="00456FF7">
      <w:pPr>
        <w:spacing w:before="16"/>
      </w:pPr>
      <w:r>
        <w:rPr>
          <w:rFonts w:ascii="Georgia" w:eastAsia="Georgia" w:hAnsi="Georgia" w:cs="Georgia"/>
          <w:b/>
          <w:bCs/>
          <w:color w:val="B85C3C"/>
          <w:sz w:val="40"/>
          <w:szCs w:val="40"/>
        </w:rPr>
        <w:t>12 Things Before</w:t>
      </w:r>
    </w:p>
    <w:p w14:paraId="7F8C6090" w14:textId="77777777" w:rsidR="003C4436" w:rsidRDefault="00456FF7">
      <w:pPr>
        <w:spacing w:after="10"/>
      </w:pPr>
      <w:r>
        <w:rPr>
          <w:rFonts w:ascii="Georgia" w:eastAsia="Georgia" w:hAnsi="Georgia" w:cs="Georgia"/>
          <w:b/>
          <w:bCs/>
          <w:color w:val="8C4530"/>
          <w:sz w:val="40"/>
          <w:szCs w:val="40"/>
        </w:rPr>
        <w:t>They Go Online</w:t>
      </w:r>
    </w:p>
    <w:p w14:paraId="4761763D" w14:textId="77777777" w:rsidR="003C4436" w:rsidRDefault="00456FF7">
      <w:pPr>
        <w:spacing w:after="90"/>
      </w:pPr>
      <w:r>
        <w:rPr>
          <w:i/>
          <w:iCs/>
          <w:color w:val="7A6B62"/>
          <w:sz w:val="20"/>
          <w:szCs w:val="20"/>
        </w:rPr>
        <w:t>A readiness checklist for parents — skills a child should have before unsupervised digital access</w:t>
      </w:r>
    </w:p>
    <w:p w14:paraId="0101DACE" w14:textId="77777777" w:rsidR="003C4436" w:rsidRDefault="00456FF7">
      <w:pPr>
        <w:spacing w:before="50" w:after="50"/>
      </w:pPr>
      <w:r>
        <w:rPr>
          <w:sz w:val="21"/>
          <w:szCs w:val="21"/>
        </w:rPr>
        <w:t>Digital access isn’t really a question of age — it’s a question of readiness. Just like crossing the street alone, a child grows into it by showing they can handle it. Here are twelve skills to look for. Don’t just ask if they know — role-play each one until the response is automatic.</w:t>
      </w:r>
    </w:p>
    <w:p w14:paraId="3F33BFBE" w14:textId="77777777" w:rsidR="003C4436" w:rsidRDefault="003C4436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8800"/>
      </w:tblGrid>
      <w:tr w:rsidR="003C4436" w14:paraId="4A074102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B85C3C"/>
              <w:left w:val="single" w:sz="4" w:space="0" w:color="B85C3C"/>
              <w:bottom w:val="single" w:sz="4" w:space="0" w:color="B85C3C"/>
              <w:right w:val="single" w:sz="4" w:space="0" w:color="B85C3C"/>
            </w:tcBorders>
            <w:shd w:val="clear" w:color="auto" w:fill="B85C3C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3F4FAAA0" w14:textId="77777777" w:rsidR="003C4436" w:rsidRDefault="00456FF7">
            <w:pPr>
              <w:jc w:val="center"/>
            </w:pPr>
            <w:r>
              <w:rPr>
                <w:color w:val="FFFFFF"/>
                <w:sz w:val="24"/>
                <w:szCs w:val="24"/>
              </w:rPr>
              <w:t>☐</w:t>
            </w:r>
          </w:p>
        </w:tc>
        <w:tc>
          <w:tcPr>
            <w:tcW w:w="8800" w:type="dxa"/>
            <w:tcBorders>
              <w:top w:val="single" w:sz="4" w:space="0" w:color="E8D9CD"/>
              <w:left w:val="single" w:sz="4" w:space="0" w:color="E8D9CD"/>
              <w:bottom w:val="single" w:sz="4" w:space="0" w:color="E8D9CD"/>
              <w:right w:val="single" w:sz="4" w:space="0" w:color="E8D9CD"/>
            </w:tcBorders>
            <w:shd w:val="clear" w:color="auto" w:fill="FDF8F2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E518FD1" w14:textId="77777777" w:rsidR="003C4436" w:rsidRDefault="00456FF7">
            <w:r>
              <w:rPr>
                <w:b/>
                <w:bCs/>
                <w:color w:val="8C4530"/>
                <w:sz w:val="20"/>
                <w:szCs w:val="20"/>
              </w:rPr>
              <w:t xml:space="preserve">1. Their discomfort is a reason — </w:t>
            </w:r>
            <w:r>
              <w:rPr>
                <w:sz w:val="20"/>
                <w:szCs w:val="20"/>
              </w:rPr>
              <w:t>an uneasy feeling alone is enough to stop, leave, or tell you — no proof needed.</w:t>
            </w:r>
          </w:p>
        </w:tc>
      </w:tr>
      <w:tr w:rsidR="003C4436" w14:paraId="47212218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B85C3C"/>
              <w:left w:val="single" w:sz="4" w:space="0" w:color="B85C3C"/>
              <w:bottom w:val="single" w:sz="4" w:space="0" w:color="B85C3C"/>
              <w:right w:val="single" w:sz="4" w:space="0" w:color="B85C3C"/>
            </w:tcBorders>
            <w:shd w:val="clear" w:color="auto" w:fill="B85C3C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1355BBC7" w14:textId="77777777" w:rsidR="003C4436" w:rsidRDefault="00456FF7">
            <w:pPr>
              <w:jc w:val="center"/>
            </w:pPr>
            <w:r>
              <w:rPr>
                <w:color w:val="FFFFFF"/>
                <w:sz w:val="24"/>
                <w:szCs w:val="24"/>
              </w:rPr>
              <w:t>☐</w:t>
            </w:r>
          </w:p>
        </w:tc>
        <w:tc>
          <w:tcPr>
            <w:tcW w:w="8800" w:type="dxa"/>
            <w:tcBorders>
              <w:top w:val="single" w:sz="4" w:space="0" w:color="E8D9CD"/>
              <w:left w:val="single" w:sz="4" w:space="0" w:color="E8D9CD"/>
              <w:bottom w:val="single" w:sz="4" w:space="0" w:color="E8D9CD"/>
              <w:right w:val="single" w:sz="4" w:space="0" w:color="E8D9CD"/>
            </w:tcBorders>
            <w:shd w:val="clear" w:color="auto" w:fill="FDF8F2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B1170CC" w14:textId="77777777" w:rsidR="003C4436" w:rsidRDefault="00456FF7">
            <w:r>
              <w:rPr>
                <w:b/>
                <w:bCs/>
                <w:color w:val="8C4530"/>
                <w:sz w:val="20"/>
                <w:szCs w:val="20"/>
              </w:rPr>
              <w:t xml:space="preserve">2. You can handle anything — </w:t>
            </w:r>
            <w:r>
              <w:rPr>
                <w:sz w:val="20"/>
                <w:szCs w:val="20"/>
              </w:rPr>
              <w:t>they believe no topic is too shameful to bring to you, and telling won’t get them in trouble.</w:t>
            </w:r>
          </w:p>
        </w:tc>
      </w:tr>
      <w:tr w:rsidR="003C4436" w14:paraId="13634FFA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B85C3C"/>
              <w:left w:val="single" w:sz="4" w:space="0" w:color="B85C3C"/>
              <w:bottom w:val="single" w:sz="4" w:space="0" w:color="B85C3C"/>
              <w:right w:val="single" w:sz="4" w:space="0" w:color="B85C3C"/>
            </w:tcBorders>
            <w:shd w:val="clear" w:color="auto" w:fill="B85C3C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5D25C058" w14:textId="77777777" w:rsidR="003C4436" w:rsidRDefault="00456FF7">
            <w:pPr>
              <w:jc w:val="center"/>
            </w:pPr>
            <w:r>
              <w:rPr>
                <w:color w:val="FFFFFF"/>
                <w:sz w:val="24"/>
                <w:szCs w:val="24"/>
              </w:rPr>
              <w:t>☐</w:t>
            </w:r>
          </w:p>
        </w:tc>
        <w:tc>
          <w:tcPr>
            <w:tcW w:w="8800" w:type="dxa"/>
            <w:tcBorders>
              <w:top w:val="single" w:sz="4" w:space="0" w:color="E8D9CD"/>
              <w:left w:val="single" w:sz="4" w:space="0" w:color="E8D9CD"/>
              <w:bottom w:val="single" w:sz="4" w:space="0" w:color="E8D9CD"/>
              <w:right w:val="single" w:sz="4" w:space="0" w:color="E8D9CD"/>
            </w:tcBorders>
            <w:shd w:val="clear" w:color="auto" w:fill="FDF8F2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C50D0B4" w14:textId="77777777" w:rsidR="003C4436" w:rsidRDefault="00456FF7">
            <w:r>
              <w:rPr>
                <w:b/>
                <w:bCs/>
                <w:color w:val="8C4530"/>
                <w:sz w:val="20"/>
                <w:szCs w:val="20"/>
              </w:rPr>
              <w:t xml:space="preserve">3. It’s okay to defy an adult — </w:t>
            </w:r>
            <w:r>
              <w:rPr>
                <w:sz w:val="20"/>
                <w:szCs w:val="20"/>
              </w:rPr>
              <w:t>including ones who seem kind, funny, or generous — especially online.</w:t>
            </w:r>
          </w:p>
        </w:tc>
      </w:tr>
      <w:tr w:rsidR="003C4436" w14:paraId="1AA8BFA5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B85C3C"/>
              <w:left w:val="single" w:sz="4" w:space="0" w:color="B85C3C"/>
              <w:bottom w:val="single" w:sz="4" w:space="0" w:color="B85C3C"/>
              <w:right w:val="single" w:sz="4" w:space="0" w:color="B85C3C"/>
            </w:tcBorders>
            <w:shd w:val="clear" w:color="auto" w:fill="B85C3C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63FFE157" w14:textId="77777777" w:rsidR="003C4436" w:rsidRDefault="00456FF7">
            <w:pPr>
              <w:jc w:val="center"/>
            </w:pPr>
            <w:r>
              <w:rPr>
                <w:color w:val="FFFFFF"/>
                <w:sz w:val="24"/>
                <w:szCs w:val="24"/>
              </w:rPr>
              <w:t>☐</w:t>
            </w:r>
          </w:p>
        </w:tc>
        <w:tc>
          <w:tcPr>
            <w:tcW w:w="8800" w:type="dxa"/>
            <w:tcBorders>
              <w:top w:val="single" w:sz="4" w:space="0" w:color="E8D9CD"/>
              <w:left w:val="single" w:sz="4" w:space="0" w:color="E8D9CD"/>
              <w:bottom w:val="single" w:sz="4" w:space="0" w:color="E8D9CD"/>
              <w:right w:val="single" w:sz="4" w:space="0" w:color="E8D9CD"/>
            </w:tcBorders>
            <w:shd w:val="clear" w:color="auto" w:fill="FDF8F2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A74B74C" w14:textId="77777777" w:rsidR="003C4436" w:rsidRDefault="00456FF7">
            <w:r>
              <w:rPr>
                <w:b/>
                <w:bCs/>
                <w:color w:val="8C4530"/>
                <w:sz w:val="20"/>
                <w:szCs w:val="20"/>
              </w:rPr>
              <w:t xml:space="preserve">4. It’s okay to be blunt — </w:t>
            </w:r>
            <w:r>
              <w:rPr>
                <w:sz w:val="20"/>
                <w:szCs w:val="20"/>
              </w:rPr>
              <w:t>they can say no, block, or leave without softening it or worrying about being polite.</w:t>
            </w:r>
          </w:p>
        </w:tc>
      </w:tr>
      <w:tr w:rsidR="003C4436" w14:paraId="52F9C150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B85C3C"/>
              <w:left w:val="single" w:sz="4" w:space="0" w:color="B85C3C"/>
              <w:bottom w:val="single" w:sz="4" w:space="0" w:color="B85C3C"/>
              <w:right w:val="single" w:sz="4" w:space="0" w:color="B85C3C"/>
            </w:tcBorders>
            <w:shd w:val="clear" w:color="auto" w:fill="B85C3C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56CCD908" w14:textId="77777777" w:rsidR="003C4436" w:rsidRDefault="00456FF7">
            <w:pPr>
              <w:jc w:val="center"/>
            </w:pPr>
            <w:r>
              <w:rPr>
                <w:color w:val="FFFFFF"/>
                <w:sz w:val="24"/>
                <w:szCs w:val="24"/>
              </w:rPr>
              <w:t>☐</w:t>
            </w:r>
          </w:p>
        </w:tc>
        <w:tc>
          <w:tcPr>
            <w:tcW w:w="8800" w:type="dxa"/>
            <w:tcBorders>
              <w:top w:val="single" w:sz="4" w:space="0" w:color="E8D9CD"/>
              <w:left w:val="single" w:sz="4" w:space="0" w:color="E8D9CD"/>
              <w:bottom w:val="single" w:sz="4" w:space="0" w:color="E8D9CD"/>
              <w:right w:val="single" w:sz="4" w:space="0" w:color="E8D9CD"/>
            </w:tcBorders>
            <w:shd w:val="clear" w:color="auto" w:fill="FDF8F2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BAEFBAD" w14:textId="77777777" w:rsidR="003C4436" w:rsidRDefault="00456FF7">
            <w:r>
              <w:rPr>
                <w:b/>
                <w:bCs/>
                <w:color w:val="8C4530"/>
                <w:sz w:val="20"/>
                <w:szCs w:val="20"/>
              </w:rPr>
              <w:t xml:space="preserve">5. They can ask for help — </w:t>
            </w:r>
            <w:r>
              <w:rPr>
                <w:sz w:val="20"/>
                <w:szCs w:val="20"/>
              </w:rPr>
              <w:t>they’ve practiced the actual words: “Something happened online and I need help.”</w:t>
            </w:r>
          </w:p>
        </w:tc>
      </w:tr>
      <w:tr w:rsidR="003C4436" w14:paraId="7BB18A4D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B85C3C"/>
              <w:left w:val="single" w:sz="4" w:space="0" w:color="B85C3C"/>
              <w:bottom w:val="single" w:sz="4" w:space="0" w:color="B85C3C"/>
              <w:right w:val="single" w:sz="4" w:space="0" w:color="B85C3C"/>
            </w:tcBorders>
            <w:shd w:val="clear" w:color="auto" w:fill="B85C3C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5279ED02" w14:textId="77777777" w:rsidR="003C4436" w:rsidRDefault="00456FF7">
            <w:pPr>
              <w:jc w:val="center"/>
            </w:pPr>
            <w:r>
              <w:rPr>
                <w:color w:val="FFFFFF"/>
                <w:sz w:val="24"/>
                <w:szCs w:val="24"/>
              </w:rPr>
              <w:t>☐</w:t>
            </w:r>
          </w:p>
        </w:tc>
        <w:tc>
          <w:tcPr>
            <w:tcW w:w="8800" w:type="dxa"/>
            <w:tcBorders>
              <w:top w:val="single" w:sz="4" w:space="0" w:color="E8D9CD"/>
              <w:left w:val="single" w:sz="4" w:space="0" w:color="E8D9CD"/>
              <w:bottom w:val="single" w:sz="4" w:space="0" w:color="E8D9CD"/>
              <w:right w:val="single" w:sz="4" w:space="0" w:color="E8D9CD"/>
            </w:tcBorders>
            <w:shd w:val="clear" w:color="auto" w:fill="FDF8F2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A86427D" w14:textId="77777777" w:rsidR="003C4436" w:rsidRDefault="00456FF7">
            <w:r>
              <w:rPr>
                <w:b/>
                <w:bCs/>
                <w:color w:val="8C4530"/>
                <w:sz w:val="20"/>
                <w:szCs w:val="20"/>
              </w:rPr>
              <w:t xml:space="preserve">6. They know who to go to — </w:t>
            </w:r>
            <w:r>
              <w:rPr>
                <w:sz w:val="20"/>
                <w:szCs w:val="20"/>
              </w:rPr>
              <w:t>you first, plus a named backup adult — they can list these people right now.</w:t>
            </w:r>
          </w:p>
        </w:tc>
      </w:tr>
      <w:tr w:rsidR="003C4436" w14:paraId="30A25A78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B85C3C"/>
              <w:left w:val="single" w:sz="4" w:space="0" w:color="B85C3C"/>
              <w:bottom w:val="single" w:sz="4" w:space="0" w:color="B85C3C"/>
              <w:right w:val="single" w:sz="4" w:space="0" w:color="B85C3C"/>
            </w:tcBorders>
            <w:shd w:val="clear" w:color="auto" w:fill="B85C3C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6513A475" w14:textId="77777777" w:rsidR="003C4436" w:rsidRDefault="00456FF7">
            <w:pPr>
              <w:jc w:val="center"/>
            </w:pPr>
            <w:r>
              <w:rPr>
                <w:color w:val="FFFFFF"/>
                <w:sz w:val="24"/>
                <w:szCs w:val="24"/>
              </w:rPr>
              <w:t>☐</w:t>
            </w:r>
          </w:p>
        </w:tc>
        <w:tc>
          <w:tcPr>
            <w:tcW w:w="8800" w:type="dxa"/>
            <w:tcBorders>
              <w:top w:val="single" w:sz="4" w:space="0" w:color="E8D9CD"/>
              <w:left w:val="single" w:sz="4" w:space="0" w:color="E8D9CD"/>
              <w:bottom w:val="single" w:sz="4" w:space="0" w:color="E8D9CD"/>
              <w:right w:val="single" w:sz="4" w:space="0" w:color="E8D9CD"/>
            </w:tcBorders>
            <w:shd w:val="clear" w:color="auto" w:fill="FDF8F2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D98F957" w14:textId="77777777" w:rsidR="003C4436" w:rsidRDefault="00456FF7">
            <w:r>
              <w:rPr>
                <w:b/>
                <w:bCs/>
                <w:color w:val="8C4530"/>
                <w:sz w:val="20"/>
                <w:szCs w:val="20"/>
              </w:rPr>
              <w:t xml:space="preserve">7. They can describe what happened — </w:t>
            </w:r>
            <w:r>
              <w:rPr>
                <w:sz w:val="20"/>
                <w:szCs w:val="20"/>
              </w:rPr>
              <w:t>who, what platform, what was said or asked. Vagueness is a barrier to help.</w:t>
            </w:r>
          </w:p>
        </w:tc>
      </w:tr>
      <w:tr w:rsidR="003C4436" w14:paraId="35747B4D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B85C3C"/>
              <w:left w:val="single" w:sz="4" w:space="0" w:color="B85C3C"/>
              <w:bottom w:val="single" w:sz="4" w:space="0" w:color="B85C3C"/>
              <w:right w:val="single" w:sz="4" w:space="0" w:color="B85C3C"/>
            </w:tcBorders>
            <w:shd w:val="clear" w:color="auto" w:fill="B85C3C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5F757B98" w14:textId="77777777" w:rsidR="003C4436" w:rsidRDefault="00456FF7">
            <w:pPr>
              <w:jc w:val="center"/>
            </w:pPr>
            <w:r>
              <w:rPr>
                <w:color w:val="FFFFFF"/>
                <w:sz w:val="24"/>
                <w:szCs w:val="24"/>
              </w:rPr>
              <w:t>☐</w:t>
            </w:r>
          </w:p>
        </w:tc>
        <w:tc>
          <w:tcPr>
            <w:tcW w:w="8800" w:type="dxa"/>
            <w:tcBorders>
              <w:top w:val="single" w:sz="4" w:space="0" w:color="E8D9CD"/>
              <w:left w:val="single" w:sz="4" w:space="0" w:color="E8D9CD"/>
              <w:bottom w:val="single" w:sz="4" w:space="0" w:color="E8D9CD"/>
              <w:right w:val="single" w:sz="4" w:space="0" w:color="E8D9CD"/>
            </w:tcBorders>
            <w:shd w:val="clear" w:color="auto" w:fill="FDF8F2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913536E" w14:textId="77777777" w:rsidR="003C4436" w:rsidRDefault="00456FF7">
            <w:r>
              <w:rPr>
                <w:b/>
                <w:bCs/>
                <w:color w:val="8C4530"/>
                <w:sz w:val="20"/>
                <w:szCs w:val="20"/>
              </w:rPr>
              <w:t xml:space="preserve">8. They can act to protect themselves — </w:t>
            </w:r>
            <w:r>
              <w:rPr>
                <w:sz w:val="20"/>
                <w:szCs w:val="20"/>
              </w:rPr>
              <w:t>block, report, screenshot, walk away — and know you’ll back the action they took.</w:t>
            </w:r>
          </w:p>
        </w:tc>
      </w:tr>
      <w:tr w:rsidR="003C4436" w14:paraId="19F48F8D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B85C3C"/>
              <w:left w:val="single" w:sz="4" w:space="0" w:color="B85C3C"/>
              <w:bottom w:val="single" w:sz="4" w:space="0" w:color="B85C3C"/>
              <w:right w:val="single" w:sz="4" w:space="0" w:color="B85C3C"/>
            </w:tcBorders>
            <w:shd w:val="clear" w:color="auto" w:fill="B85C3C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50AB18BB" w14:textId="77777777" w:rsidR="003C4436" w:rsidRDefault="00456FF7">
            <w:pPr>
              <w:jc w:val="center"/>
            </w:pPr>
            <w:r>
              <w:rPr>
                <w:color w:val="FFFFFF"/>
                <w:sz w:val="24"/>
                <w:szCs w:val="24"/>
              </w:rPr>
              <w:t>☐</w:t>
            </w:r>
          </w:p>
        </w:tc>
        <w:tc>
          <w:tcPr>
            <w:tcW w:w="8800" w:type="dxa"/>
            <w:tcBorders>
              <w:top w:val="single" w:sz="4" w:space="0" w:color="E8D9CD"/>
              <w:left w:val="single" w:sz="4" w:space="0" w:color="E8D9CD"/>
              <w:bottom w:val="single" w:sz="4" w:space="0" w:color="E8D9CD"/>
              <w:right w:val="single" w:sz="4" w:space="0" w:color="E8D9CD"/>
            </w:tcBorders>
            <w:shd w:val="clear" w:color="auto" w:fill="FDF8F2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EE09D04" w14:textId="77777777" w:rsidR="003C4436" w:rsidRDefault="00456FF7">
            <w:r>
              <w:rPr>
                <w:b/>
                <w:bCs/>
                <w:color w:val="8C4530"/>
                <w:sz w:val="20"/>
                <w:szCs w:val="20"/>
              </w:rPr>
              <w:t xml:space="preserve">9. Secrecy is the warning sign — </w:t>
            </w:r>
            <w:r>
              <w:rPr>
                <w:sz w:val="20"/>
                <w:szCs w:val="20"/>
              </w:rPr>
              <w:t xml:space="preserve">when someone asks them to keep something secret from </w:t>
            </w:r>
            <w:proofErr w:type="gramStart"/>
            <w:r>
              <w:rPr>
                <w:sz w:val="20"/>
                <w:szCs w:val="20"/>
              </w:rPr>
              <w:t>you,</w:t>
            </w:r>
            <w:proofErr w:type="gramEnd"/>
            <w:r>
              <w:rPr>
                <w:sz w:val="20"/>
                <w:szCs w:val="20"/>
              </w:rPr>
              <w:t xml:space="preserve"> that request is the red flag.</w:t>
            </w:r>
          </w:p>
        </w:tc>
      </w:tr>
      <w:tr w:rsidR="003C4436" w14:paraId="1E7BC52E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B85C3C"/>
              <w:left w:val="single" w:sz="4" w:space="0" w:color="B85C3C"/>
              <w:bottom w:val="single" w:sz="4" w:space="0" w:color="B85C3C"/>
              <w:right w:val="single" w:sz="4" w:space="0" w:color="B85C3C"/>
            </w:tcBorders>
            <w:shd w:val="clear" w:color="auto" w:fill="B85C3C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5633D9AE" w14:textId="77777777" w:rsidR="003C4436" w:rsidRDefault="00456FF7">
            <w:pPr>
              <w:jc w:val="center"/>
            </w:pPr>
            <w:r>
              <w:rPr>
                <w:color w:val="FFFFFF"/>
                <w:sz w:val="24"/>
                <w:szCs w:val="24"/>
              </w:rPr>
              <w:t>☐</w:t>
            </w:r>
          </w:p>
        </w:tc>
        <w:tc>
          <w:tcPr>
            <w:tcW w:w="8800" w:type="dxa"/>
            <w:tcBorders>
              <w:top w:val="single" w:sz="4" w:space="0" w:color="E8D9CD"/>
              <w:left w:val="single" w:sz="4" w:space="0" w:color="E8D9CD"/>
              <w:bottom w:val="single" w:sz="4" w:space="0" w:color="E8D9CD"/>
              <w:right w:val="single" w:sz="4" w:space="0" w:color="E8D9CD"/>
            </w:tcBorders>
            <w:shd w:val="clear" w:color="auto" w:fill="FDF8F2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E32D0AA" w14:textId="77777777" w:rsidR="003C4436" w:rsidRDefault="00456FF7">
            <w:r>
              <w:rPr>
                <w:b/>
                <w:bCs/>
                <w:color w:val="8C4530"/>
                <w:sz w:val="20"/>
                <w:szCs w:val="20"/>
              </w:rPr>
              <w:t xml:space="preserve">10. “Don’t tell” means TELL — </w:t>
            </w:r>
            <w:r>
              <w:rPr>
                <w:sz w:val="20"/>
                <w:szCs w:val="20"/>
              </w:rPr>
              <w:t>“this is just between us” is the exact moment to come to you immediately.</w:t>
            </w:r>
          </w:p>
        </w:tc>
      </w:tr>
      <w:tr w:rsidR="003C4436" w14:paraId="407C0344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B85C3C"/>
              <w:left w:val="single" w:sz="4" w:space="0" w:color="B85C3C"/>
              <w:bottom w:val="single" w:sz="4" w:space="0" w:color="B85C3C"/>
              <w:right w:val="single" w:sz="4" w:space="0" w:color="B85C3C"/>
            </w:tcBorders>
            <w:shd w:val="clear" w:color="auto" w:fill="B85C3C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0D482AC3" w14:textId="77777777" w:rsidR="003C4436" w:rsidRDefault="00456FF7">
            <w:pPr>
              <w:jc w:val="center"/>
            </w:pPr>
            <w:r>
              <w:rPr>
                <w:color w:val="FFFFFF"/>
                <w:sz w:val="24"/>
                <w:szCs w:val="24"/>
              </w:rPr>
              <w:t>☐</w:t>
            </w:r>
          </w:p>
        </w:tc>
        <w:tc>
          <w:tcPr>
            <w:tcW w:w="8800" w:type="dxa"/>
            <w:tcBorders>
              <w:top w:val="single" w:sz="4" w:space="0" w:color="E8D9CD"/>
              <w:left w:val="single" w:sz="4" w:space="0" w:color="E8D9CD"/>
              <w:bottom w:val="single" w:sz="4" w:space="0" w:color="E8D9CD"/>
              <w:right w:val="single" w:sz="4" w:space="0" w:color="E8D9CD"/>
            </w:tcBorders>
            <w:shd w:val="clear" w:color="auto" w:fill="FDF8F2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49D4565" w14:textId="77777777" w:rsidR="003C4436" w:rsidRDefault="00456FF7">
            <w:r>
              <w:rPr>
                <w:b/>
                <w:bCs/>
                <w:color w:val="8C4530"/>
                <w:sz w:val="20"/>
                <w:szCs w:val="20"/>
              </w:rPr>
              <w:t xml:space="preserve">11. Never send images — </w:t>
            </w:r>
            <w:r>
              <w:rPr>
                <w:sz w:val="20"/>
                <w:szCs w:val="20"/>
              </w:rPr>
              <w:t>images can’t be taken back; anyone asking a child for them is doing something seriously wrong.</w:t>
            </w:r>
          </w:p>
        </w:tc>
      </w:tr>
      <w:tr w:rsidR="003C4436" w14:paraId="466CD37A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B85C3C"/>
              <w:left w:val="single" w:sz="4" w:space="0" w:color="B85C3C"/>
              <w:bottom w:val="single" w:sz="4" w:space="0" w:color="B85C3C"/>
              <w:right w:val="single" w:sz="4" w:space="0" w:color="B85C3C"/>
            </w:tcBorders>
            <w:shd w:val="clear" w:color="auto" w:fill="B85C3C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70961DCB" w14:textId="77777777" w:rsidR="003C4436" w:rsidRDefault="00456FF7">
            <w:pPr>
              <w:jc w:val="center"/>
            </w:pPr>
            <w:r>
              <w:rPr>
                <w:color w:val="FFFFFF"/>
                <w:sz w:val="24"/>
                <w:szCs w:val="24"/>
              </w:rPr>
              <w:t>☐</w:t>
            </w:r>
          </w:p>
        </w:tc>
        <w:tc>
          <w:tcPr>
            <w:tcW w:w="8800" w:type="dxa"/>
            <w:tcBorders>
              <w:top w:val="single" w:sz="4" w:space="0" w:color="E8D9CD"/>
              <w:left w:val="single" w:sz="4" w:space="0" w:color="E8D9CD"/>
              <w:bottom w:val="single" w:sz="4" w:space="0" w:color="E8D9CD"/>
              <w:right w:val="single" w:sz="4" w:space="0" w:color="E8D9CD"/>
            </w:tcBorders>
            <w:shd w:val="clear" w:color="auto" w:fill="FDF8F2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A01E9A2" w14:textId="77777777" w:rsidR="003C4436" w:rsidRDefault="00456FF7">
            <w:r>
              <w:rPr>
                <w:b/>
                <w:bCs/>
                <w:color w:val="8C4530"/>
                <w:sz w:val="20"/>
                <w:szCs w:val="20"/>
              </w:rPr>
              <w:t xml:space="preserve">12. Never move </w:t>
            </w:r>
            <w:proofErr w:type="gramStart"/>
            <w:r>
              <w:rPr>
                <w:b/>
                <w:bCs/>
                <w:color w:val="8C4530"/>
                <w:sz w:val="20"/>
                <w:szCs w:val="20"/>
              </w:rPr>
              <w:t>private</w:t>
            </w:r>
            <w:proofErr w:type="gramEnd"/>
            <w:r>
              <w:rPr>
                <w:b/>
                <w:bCs/>
                <w:color w:val="8C4530"/>
                <w:sz w:val="20"/>
                <w:szCs w:val="20"/>
              </w:rPr>
              <w:t xml:space="preserve"> or meet in person — </w:t>
            </w:r>
            <w:r>
              <w:rPr>
                <w:sz w:val="20"/>
                <w:szCs w:val="20"/>
              </w:rPr>
              <w:t>won’t switch to a private app, share identifying details, or meet an online contact.</w:t>
            </w:r>
          </w:p>
        </w:tc>
      </w:tr>
    </w:tbl>
    <w:p w14:paraId="57F9D12D" w14:textId="77777777" w:rsidR="003C4436" w:rsidRDefault="003C4436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C4436" w14:paraId="4C7C055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8A55B"/>
              <w:left w:val="single" w:sz="4" w:space="0" w:color="C8A55B"/>
              <w:bottom w:val="single" w:sz="4" w:space="0" w:color="C8A55B"/>
              <w:right w:val="single" w:sz="4" w:space="0" w:color="C8A55B"/>
            </w:tcBorders>
            <w:shd w:val="clear" w:color="auto" w:fill="FDF8F2"/>
            <w:tcMar>
              <w:top w:w="110" w:type="dxa"/>
              <w:left w:w="190" w:type="dxa"/>
              <w:bottom w:w="110" w:type="dxa"/>
              <w:right w:w="190" w:type="dxa"/>
            </w:tcMar>
          </w:tcPr>
          <w:p w14:paraId="25DA8DBB" w14:textId="77777777" w:rsidR="003C4436" w:rsidRDefault="00456FF7">
            <w:r>
              <w:rPr>
                <w:b/>
                <w:bCs/>
                <w:color w:val="8C4530"/>
                <w:sz w:val="20"/>
                <w:szCs w:val="20"/>
              </w:rPr>
              <w:t xml:space="preserve">Unchecked boxes aren’t a failure — </w:t>
            </w:r>
            <w:r>
              <w:rPr>
                <w:sz w:val="20"/>
                <w:szCs w:val="20"/>
              </w:rPr>
              <w:t xml:space="preserve">they just show what to teach next. Keep access supervised while you build that </w:t>
            </w:r>
            <w:proofErr w:type="gramStart"/>
            <w:r>
              <w:rPr>
                <w:sz w:val="20"/>
                <w:szCs w:val="20"/>
              </w:rPr>
              <w:t>skill, and</w:t>
            </w:r>
            <w:proofErr w:type="gramEnd"/>
            <w:r>
              <w:rPr>
                <w:sz w:val="20"/>
                <w:szCs w:val="20"/>
              </w:rPr>
              <w:t xml:space="preserve"> re-check every 6–12 months.</w:t>
            </w:r>
          </w:p>
        </w:tc>
      </w:tr>
    </w:tbl>
    <w:p w14:paraId="4CE6B719" w14:textId="77777777" w:rsidR="00456FF7" w:rsidRDefault="00456FF7"/>
    <w:sectPr w:rsidR="00456FF7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BB6F0" w14:textId="77777777" w:rsidR="00456FF7" w:rsidRDefault="00456FF7">
      <w:r>
        <w:separator/>
      </w:r>
    </w:p>
  </w:endnote>
  <w:endnote w:type="continuationSeparator" w:id="0">
    <w:p w14:paraId="38760237" w14:textId="77777777" w:rsidR="00456FF7" w:rsidRDefault="00456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468B0" w14:textId="77777777" w:rsidR="003C4436" w:rsidRDefault="00456FF7">
    <w:pPr>
      <w:pBdr>
        <w:top w:val="single" w:sz="6" w:space="6" w:color="E8D9CD"/>
      </w:pBdr>
      <w:spacing w:before="40" w:after="20"/>
    </w:pPr>
    <w:r>
      <w:rPr>
        <w:b/>
        <w:bCs/>
        <w:color w:val="8C4530"/>
        <w:sz w:val="18"/>
        <w:szCs w:val="18"/>
      </w:rPr>
      <w:t xml:space="preserve">Want the full guide?  </w:t>
    </w:r>
    <w:r>
      <w:rPr>
        <w:sz w:val="18"/>
        <w:szCs w:val="18"/>
      </w:rPr>
      <w:t xml:space="preserve">“Before They Go Online” — covering the risks, warning signs, and a family plan — is available at </w:t>
    </w:r>
    <w:hyperlink r:id="rId1" w:history="1">
      <w:r>
        <w:rPr>
          <w:rStyle w:val="Hyperlink"/>
          <w:color w:val="B85C3C"/>
          <w:sz w:val="18"/>
          <w:szCs w:val="18"/>
        </w:rPr>
        <w:t>letsgettoit.net</w:t>
      </w:r>
    </w:hyperlink>
  </w:p>
  <w:p w14:paraId="3AE0E980" w14:textId="77777777" w:rsidR="003C4436" w:rsidRDefault="00456FF7">
    <w:r>
      <w:rPr>
        <w:i/>
        <w:iCs/>
        <w:color w:val="7A6B62"/>
        <w:sz w:val="15"/>
        <w:szCs w:val="15"/>
      </w:rPr>
      <w:t xml:space="preserve">Edward </w:t>
    </w:r>
    <w:proofErr w:type="gramStart"/>
    <w:r>
      <w:rPr>
        <w:i/>
        <w:iCs/>
        <w:color w:val="7A6B62"/>
        <w:sz w:val="15"/>
        <w:szCs w:val="15"/>
      </w:rPr>
      <w:t>Larkstone  |</w:t>
    </w:r>
    <w:proofErr w:type="gramEnd"/>
    <w:r>
      <w:rPr>
        <w:i/>
        <w:iCs/>
        <w:color w:val="7A6B62"/>
        <w:sz w:val="15"/>
        <w:szCs w:val="15"/>
      </w:rPr>
      <w:t xml:space="preserve">  Let’s Get to </w:t>
    </w:r>
    <w:proofErr w:type="gramStart"/>
    <w:r>
      <w:rPr>
        <w:i/>
        <w:iCs/>
        <w:color w:val="7A6B62"/>
        <w:sz w:val="15"/>
        <w:szCs w:val="15"/>
      </w:rPr>
      <w:t>It  —</w:t>
    </w:r>
    <w:proofErr w:type="gramEnd"/>
    <w:r>
      <w:rPr>
        <w:i/>
        <w:iCs/>
        <w:color w:val="7A6B62"/>
        <w:sz w:val="15"/>
        <w:szCs w:val="15"/>
      </w:rPr>
      <w:t xml:space="preserve">  free resource. Educational use only; not a substitute for professional advice.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34F3C" w14:textId="77777777" w:rsidR="00456FF7" w:rsidRDefault="00456FF7">
      <w:r>
        <w:separator/>
      </w:r>
    </w:p>
  </w:footnote>
  <w:footnote w:type="continuationSeparator" w:id="0">
    <w:p w14:paraId="274D6C45" w14:textId="77777777" w:rsidR="00456FF7" w:rsidRDefault="00456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6B4CC" w14:textId="77777777" w:rsidR="003C4436" w:rsidRDefault="00456FF7">
    <w:pPr>
      <w:pBdr>
        <w:bottom w:val="single" w:sz="6" w:space="6" w:color="B85C3C"/>
      </w:pBdr>
      <w:tabs>
        <w:tab w:val="right" w:pos="9360"/>
      </w:tabs>
    </w:pPr>
    <w:r>
      <w:rPr>
        <w:rFonts w:ascii="Georgia" w:eastAsia="Georgia" w:hAnsi="Georgia" w:cs="Georgia"/>
        <w:b/>
        <w:bCs/>
        <w:color w:val="B85C3C"/>
        <w:sz w:val="18"/>
        <w:szCs w:val="18"/>
      </w:rPr>
      <w:t>LET’S GET TO IT</w:t>
    </w:r>
    <w:r>
      <w:rPr>
        <w:color w:val="7A6B62"/>
        <w:sz w:val="18"/>
        <w:szCs w:val="18"/>
      </w:rPr>
      <w:tab/>
      <w:t>Free Resource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14750"/>
    <w:multiLevelType w:val="hybridMultilevel"/>
    <w:tmpl w:val="F6B402D6"/>
    <w:lvl w:ilvl="0" w:tplc="3568637A">
      <w:start w:val="1"/>
      <w:numFmt w:val="bullet"/>
      <w:lvlText w:val="●"/>
      <w:lvlJc w:val="left"/>
      <w:pPr>
        <w:ind w:left="720" w:hanging="360"/>
      </w:pPr>
    </w:lvl>
    <w:lvl w:ilvl="1" w:tplc="C97AF368">
      <w:start w:val="1"/>
      <w:numFmt w:val="bullet"/>
      <w:lvlText w:val="○"/>
      <w:lvlJc w:val="left"/>
      <w:pPr>
        <w:ind w:left="1440" w:hanging="360"/>
      </w:pPr>
    </w:lvl>
    <w:lvl w:ilvl="2" w:tplc="6CD6B29E">
      <w:start w:val="1"/>
      <w:numFmt w:val="bullet"/>
      <w:lvlText w:val="■"/>
      <w:lvlJc w:val="left"/>
      <w:pPr>
        <w:ind w:left="2160" w:hanging="360"/>
      </w:pPr>
    </w:lvl>
    <w:lvl w:ilvl="3" w:tplc="F32EEB3E">
      <w:start w:val="1"/>
      <w:numFmt w:val="bullet"/>
      <w:lvlText w:val="●"/>
      <w:lvlJc w:val="left"/>
      <w:pPr>
        <w:ind w:left="2880" w:hanging="360"/>
      </w:pPr>
    </w:lvl>
    <w:lvl w:ilvl="4" w:tplc="44AC0576">
      <w:start w:val="1"/>
      <w:numFmt w:val="bullet"/>
      <w:lvlText w:val="○"/>
      <w:lvlJc w:val="left"/>
      <w:pPr>
        <w:ind w:left="3600" w:hanging="360"/>
      </w:pPr>
    </w:lvl>
    <w:lvl w:ilvl="5" w:tplc="FD5678CE">
      <w:start w:val="1"/>
      <w:numFmt w:val="bullet"/>
      <w:lvlText w:val="■"/>
      <w:lvlJc w:val="left"/>
      <w:pPr>
        <w:ind w:left="4320" w:hanging="360"/>
      </w:pPr>
    </w:lvl>
    <w:lvl w:ilvl="6" w:tplc="14F2EBBC">
      <w:start w:val="1"/>
      <w:numFmt w:val="bullet"/>
      <w:lvlText w:val="●"/>
      <w:lvlJc w:val="left"/>
      <w:pPr>
        <w:ind w:left="5040" w:hanging="360"/>
      </w:pPr>
    </w:lvl>
    <w:lvl w:ilvl="7" w:tplc="1A4AE28C">
      <w:start w:val="1"/>
      <w:numFmt w:val="bullet"/>
      <w:lvlText w:val="●"/>
      <w:lvlJc w:val="left"/>
      <w:pPr>
        <w:ind w:left="5760" w:hanging="360"/>
      </w:pPr>
    </w:lvl>
    <w:lvl w:ilvl="8" w:tplc="92F2E4E2">
      <w:start w:val="1"/>
      <w:numFmt w:val="bullet"/>
      <w:lvlText w:val="●"/>
      <w:lvlJc w:val="left"/>
      <w:pPr>
        <w:ind w:left="6480" w:hanging="360"/>
      </w:pPr>
    </w:lvl>
  </w:abstractNum>
  <w:num w:numId="1" w16cid:durableId="14360566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436"/>
    <w:rsid w:val="003C4436"/>
    <w:rsid w:val="00456FF7"/>
    <w:rsid w:val="0077469C"/>
    <w:rsid w:val="00CC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D3F9C"/>
  <w15:docId w15:val="{2D0E37F3-2CE5-4A08-85DC-22DC33797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3D332E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letsgettoi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1689</Characters>
  <Application>Microsoft Office Word</Application>
  <DocSecurity>0</DocSecurity>
  <Lines>52</Lines>
  <Paragraphs>24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James Moore</cp:lastModifiedBy>
  <cp:revision>2</cp:revision>
  <dcterms:created xsi:type="dcterms:W3CDTF">2026-08-15T05:59:00Z</dcterms:created>
  <dcterms:modified xsi:type="dcterms:W3CDTF">2026-08-15T05:59:00Z</dcterms:modified>
</cp:coreProperties>
</file>