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B85C3C" w:sz="4"/>
              <w:left w:val="single" w:color="B85C3C" w:sz="4"/>
              <w:bottom w:val="single" w:color="B85C3C" w:sz="4"/>
              <w:right w:val="single" w:color="B85C3C" w:sz="4"/>
            </w:tcBorders>
            <w:shd w:fill="B85C3C" w:val="clear"/>
            <w:tcMar>
              <w:top w:type="dxa" w:w="150"/>
              <w:left w:type="dxa" w:w="220"/>
              <w:bottom w:type="dxa" w:w="150"/>
              <w:right w:type="dxa" w:w="220"/>
            </w:tcMar>
          </w:tcPr>
          <w:p>
            <w:r>
              <w:rPr>
                <w:rFonts w:ascii="Calibri" w:cs="Calibri" w:eastAsia="Calibri" w:hAnsi="Calibri"/>
                <w:b/>
                <w:bCs/>
                <w:caps/>
                <w:color w:val="F4DCD0"/>
                <w:sz w:val="17"/>
                <w:szCs w:val="17"/>
              </w:rPr>
              <w:t xml:space="preserve">LET’S GET TO IT  —  FREE FAMILY TOOL</w:t>
            </w:r>
          </w:p>
          <w:p>
            <w:pPr>
              <w:spacing w:after="0" w:before="14"/>
            </w:pPr>
            <w:r>
              <w:rPr>
                <w:rFonts w:ascii="Georgia" w:cs="Georgia" w:eastAsia="Georgia" w:hAnsi="Georgia"/>
                <w:b/>
                <w:bCs/>
                <w:color w:val="FFFFFF"/>
                <w:sz w:val="38"/>
                <w:szCs w:val="38"/>
              </w:rPr>
              <w:t xml:space="preserve">The Reparenting Reset</w:t>
            </w:r>
          </w:p>
          <w:p>
            <w:pPr>
              <w:spacing w:after="0" w:before="8"/>
            </w:pPr>
            <w:r>
              <w:rPr>
                <w:rFonts w:ascii="Calibri" w:cs="Calibri" w:eastAsia="Calibri" w:hAnsi="Calibri"/>
                <w:i/>
                <w:iCs/>
                <w:color w:val="F4DCD0"/>
                <w:sz w:val="20"/>
                <w:szCs w:val="20"/>
              </w:rPr>
              <w:t xml:space="preserve">For the moment an old family wound gets triggered — and the feeling is bigger than the moment</w:t>
            </w:r>
          </w:p>
        </w:tc>
      </w:tr>
    </w:tbl>
    <w:p>
      <w:pPr>
        <w:spacing w:after="0" w:before="120"/>
      </w:pPr>
      <w:r>
        <w:t xml:space="preserve"/>
      </w:r>
    </w:p>
    <w:p>
      <w:r>
        <w:rPr>
          <w:rFonts w:ascii="Calibri" w:cs="Calibri" w:eastAsia="Calibri" w:hAnsi="Calibri"/>
          <w:color w:val="3D332E"/>
          <w:sz w:val="20"/>
          <w:szCs w:val="20"/>
        </w:rPr>
        <w:t xml:space="preserve">When family stirs up a reaction that feels too big for what just happened, that’s often a younger part of you — carrying an old, unmet need. You don’t have to fix the past. You just have to be the steady, caring presence for yourself right now. Run these five steps:</w:t>
      </w:r>
    </w:p>
    <w:p>
      <w:pPr>
        <w:spacing w:after="0" w:before="12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1</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NOTICE — name the size of it</w:t>
            </w:r>
          </w:p>
          <w:p>
            <w:r>
              <w:rPr>
                <w:rFonts w:ascii="Calibri" w:cs="Calibri" w:eastAsia="Calibri" w:hAnsi="Calibri"/>
                <w:color w:val="3D332E"/>
                <w:sz w:val="20"/>
                <w:szCs w:val="20"/>
              </w:rPr>
              <w:t xml:space="preserve">Say it: “This feeling is big and old. A younger part of me just got activated.” That naming alone creates space.</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2</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BREATHE — come back to now</w:t>
            </w:r>
          </w:p>
          <w:p>
            <w:r>
              <w:rPr>
                <w:rFonts w:ascii="Calibri" w:cs="Calibri" w:eastAsia="Calibri" w:hAnsi="Calibri"/>
                <w:color w:val="3D332E"/>
                <w:sz w:val="20"/>
                <w:szCs w:val="20"/>
              </w:rPr>
              <w:t xml:space="preserve">One slow breath, longer on the way out. Feel your feet on the floor. “That was then. I’m grown now, and I’m safe.”</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3</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SOOTHE — speak like a kind parent</w:t>
            </w:r>
          </w:p>
          <w:p>
            <w:r>
              <w:rPr>
                <w:rFonts w:ascii="Calibri" w:cs="Calibri" w:eastAsia="Calibri" w:hAnsi="Calibri"/>
                <w:color w:val="3D332E"/>
                <w:sz w:val="20"/>
                <w:szCs w:val="20"/>
              </w:rPr>
              <w:t xml:space="preserve">Talk to the younger part the way a loving parent would: “I know that hurt. I’m here. You’re not alone this time.”</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4</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NEED — ask what’s underneath</w:t>
            </w:r>
          </w:p>
          <w:p>
            <w:r>
              <w:rPr>
                <w:rFonts w:ascii="Calibri" w:cs="Calibri" w:eastAsia="Calibri" w:hAnsi="Calibri"/>
                <w:color w:val="3D332E"/>
                <w:sz w:val="20"/>
                <w:szCs w:val="20"/>
              </w:rPr>
              <w:t xml:space="preserve">Ask gently: “What did I need just then — to feel respected? safe? seen?” Naming it points you to what actually helps.</w:t>
            </w:r>
          </w:p>
        </w:tc>
      </w:tr>
    </w:tbl>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820"/>
        <w:gridCol w:w="8900"/>
      </w:tblGrid>
      <w:tr>
        <w:tc>
          <w:tcPr>
            <w:tcW w:type="dxa" w:w="820"/>
            <w:tcBorders>
              <w:top w:val="single" w:color="B85C3C" w:sz="4"/>
              <w:left w:val="single" w:color="B85C3C" w:sz="4"/>
              <w:bottom w:val="single" w:color="B85C3C" w:sz="4"/>
              <w:right w:val="single" w:color="B85C3C" w:sz="4"/>
            </w:tcBorders>
            <w:shd w:fill="B85C3C" w:val="clear"/>
            <w:tcMar>
              <w:top w:type="dxa" w:w="60"/>
              <w:left w:type="dxa" w:w="20"/>
              <w:bottom w:type="dxa" w:w="60"/>
              <w:right w:type="dxa" w:w="20"/>
            </w:tcMar>
            <w:vAlign w:val="center"/>
          </w:tcPr>
          <w:p>
            <w:pPr>
              <w:jc w:val="center"/>
            </w:pPr>
            <w:r>
              <w:rPr>
                <w:rFonts w:ascii="Georgia" w:cs="Georgia" w:eastAsia="Georgia" w:hAnsi="Georgia"/>
                <w:b/>
                <w:bCs/>
                <w:color w:val="FFFFFF"/>
                <w:sz w:val="26"/>
                <w:szCs w:val="26"/>
              </w:rPr>
              <w:t xml:space="preserve">5</w:t>
            </w:r>
          </w:p>
        </w:tc>
        <w:tc>
          <w:tcPr>
            <w:tcW w:type="dxa" w:w="8900"/>
            <w:tcBorders>
              <w:top w:val="single" w:color="E8D9CD" w:sz="4"/>
              <w:left w:val="single" w:color="E8D9CD" w:sz="4"/>
              <w:bottom w:val="single" w:color="E8D9CD" w:sz="4"/>
              <w:right w:val="single" w:color="E8D9CD" w:sz="4"/>
            </w:tcBorders>
            <w:shd w:fill="FDF8F2" w:val="clear"/>
            <w:tcMar>
              <w:top w:type="dxa" w:w="70"/>
              <w:left w:type="dxa" w:w="160"/>
              <w:bottom w:type="dxa" w:w="70"/>
              <w:right w:type="dxa" w:w="150"/>
            </w:tcMar>
          </w:tcPr>
          <w:p>
            <w:pPr>
              <w:spacing w:after="16" w:before="0"/>
            </w:pPr>
            <w:r>
              <w:rPr>
                <w:rFonts w:ascii="Calibri" w:cs="Calibri" w:eastAsia="Calibri" w:hAnsi="Calibri"/>
                <w:b/>
                <w:bCs/>
                <w:color w:val="8C4530"/>
                <w:sz w:val="21"/>
                <w:szCs w:val="21"/>
              </w:rPr>
              <w:t xml:space="preserve">CARE — give yourself one small thing</w:t>
            </w:r>
          </w:p>
          <w:p>
            <w:r>
              <w:rPr>
                <w:rFonts w:ascii="Calibri" w:cs="Calibri" w:eastAsia="Calibri" w:hAnsi="Calibri"/>
                <w:color w:val="3D332E"/>
                <w:sz w:val="20"/>
                <w:szCs w:val="20"/>
              </w:rPr>
              <w:t xml:space="preserve">Offer one bit of comfort in the present: a kind word, a warm drink, a step outside, a text to a safe person.</w:t>
            </w:r>
          </w:p>
        </w:tc>
      </w:tr>
    </w:tbl>
    <w:p>
      <w:pPr>
        <w:spacing w:after="0" w:before="12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C8A55B" w:sz="4"/>
              <w:left w:val="single" w:color="C8A55B" w:sz="4"/>
              <w:bottom w:val="single" w:color="C8A55B" w:sz="4"/>
              <w:right w:val="single" w:color="C8A55B" w:sz="4"/>
            </w:tcBorders>
            <w:shd w:fill="F4DCD0" w:val="clear"/>
            <w:tcMar>
              <w:top w:type="dxa" w:w="120"/>
              <w:left w:type="dxa" w:w="200"/>
              <w:bottom w:type="dxa" w:w="120"/>
              <w:right w:type="dxa" w:w="200"/>
            </w:tcMar>
          </w:tcPr>
          <w:p>
            <w:r>
              <w:rPr>
                <w:rFonts w:ascii="Calibri" w:cs="Calibri" w:eastAsia="Calibri" w:hAnsi="Calibri"/>
                <w:b/>
                <w:bCs/>
                <w:color w:val="8C4530"/>
                <w:sz w:val="20"/>
                <w:szCs w:val="20"/>
              </w:rPr>
              <w:t xml:space="preserve">Why it works: </w:t>
            </w:r>
            <w:r>
              <w:rPr>
                <w:rFonts w:ascii="Calibri" w:cs="Calibri" w:eastAsia="Calibri" w:hAnsi="Calibri"/>
                <w:color w:val="3D332E"/>
                <w:sz w:val="20"/>
                <w:szCs w:val="20"/>
              </w:rPr>
              <w:t xml:space="preserve">old family wounds get triggered by present-day moments, and the younger part of you never had someone step in. Now you can be that someone — which is exactly how the old wound begins to heal.</w:t>
            </w:r>
          </w:p>
        </w:tc>
      </w:tr>
    </w:tbl>
    <w:p>
      <w:pPr>
        <w:spacing w:after="0" w:before="160"/>
      </w:pPr>
      <w:r>
        <w:t xml:space="preserve"/>
      </w:r>
    </w:p>
    <w:tbl>
      <w:tblPr>
        <w:tblW w:type="dxa" w:w="9720"/>
        <w:tblBorders>
          <w:top w:val="single" w:color="auto" w:sz="4"/>
          <w:left w:val="single" w:color="auto" w:sz="4"/>
          <w:bottom w:val="single" w:color="auto" w:sz="4"/>
          <w:right w:val="single" w:color="auto" w:sz="4"/>
          <w:insideH w:val="single" w:color="auto" w:sz="4"/>
          <w:insideV w:val="single" w:color="auto" w:sz="4"/>
        </w:tblBorders>
      </w:tblPr>
      <w:tblGrid>
        <w:gridCol w:w="9720"/>
      </w:tblGrid>
      <w:tr>
        <w:tc>
          <w:tcPr>
            <w:tcW w:type="dxa" w:w="9720"/>
            <w:tcBorders>
              <w:top w:val="single" w:color="8C4530" w:sz="4"/>
              <w:left w:val="single" w:color="8C4530" w:sz="4"/>
              <w:bottom w:val="single" w:color="8C4530" w:sz="4"/>
              <w:right w:val="single" w:color="8C4530" w:sz="4"/>
            </w:tcBorders>
            <w:shd w:fill="8C4530" w:val="clear"/>
            <w:tcMar>
              <w:top w:type="dxa" w:w="140"/>
              <w:left w:type="dxa" w:w="220"/>
              <w:bottom w:type="dxa" w:w="140"/>
              <w:right w:type="dxa" w:w="220"/>
            </w:tcMar>
          </w:tcPr>
          <w:p>
            <w:r>
              <w:rPr>
                <w:rFonts w:ascii="Georgia" w:cs="Georgia" w:eastAsia="Georgia" w:hAnsi="Georgia"/>
                <w:b/>
                <w:bCs/>
                <w:color w:val="FFFFFF"/>
                <w:sz w:val="23"/>
                <w:szCs w:val="23"/>
              </w:rPr>
              <w:t xml:space="preserve">Ready to heal the deeper patterns?</w:t>
            </w:r>
          </w:p>
          <w:p>
            <w:pPr>
              <w:spacing w:after="0" w:before="12"/>
            </w:pPr>
            <w:r>
              <w:rPr>
                <w:rFonts w:ascii="Calibri" w:cs="Calibri" w:eastAsia="Calibri" w:hAnsi="Calibri"/>
                <w:color w:val="F4DCD0"/>
                <w:sz w:val="20"/>
                <w:szCs w:val="20"/>
              </w:rPr>
              <w:t xml:space="preserve">This card handles the triggered moment. The full Family series helps you understand the roles you learned growing up, deal with difficult family without losing yourself, and reparent the parts of you that are still carrying old needs.</w:t>
            </w:r>
          </w:p>
          <w:p>
            <w:pPr>
              <w:spacing w:after="0" w:before="14"/>
            </w:pPr>
            <w:r>
              <w:rPr>
                <w:rFonts w:ascii="Calibri" w:cs="Calibri" w:eastAsia="Calibri" w:hAnsi="Calibri"/>
                <w:color w:val="FFFFFF"/>
                <w:sz w:val="20"/>
                <w:szCs w:val="20"/>
              </w:rPr>
              <w:t xml:space="preserve">Find the complete series at  </w:t>
            </w:r>
            <w:hyperlink w:history="1" r:id="rIdp6szvltpnekp8ouzxtyq8">
              <w:r>
                <w:rPr>
                  <w:rFonts w:ascii="Calibri" w:cs="Calibri" w:eastAsia="Calibri" w:hAnsi="Calibri"/>
                  <w:b/>
                  <w:bCs/>
                  <w:color w:val="C8A55B"/>
                  <w:sz w:val="20"/>
                  <w:szCs w:val="20"/>
                  <w:u w:val="single"/>
                </w:rPr>
                <w:t xml:space="preserve">letsgettoit.net</w:t>
              </w:r>
            </w:hyperlink>
          </w:p>
        </w:tc>
      </w:tr>
    </w:tbl>
    <w:p>
      <w:pPr>
        <w:spacing w:after="0" w:before="120"/>
      </w:pPr>
      <w:r>
        <w:t xml:space="preserve"/>
      </w:r>
    </w:p>
    <w:p>
      <w:hyperlink w:history="1" r:id="rIdjrk9u1nunfffl3ayugzhs">
        <w:r>
          <w:rPr>
            <w:rFonts w:ascii="Calibri" w:cs="Calibri" w:eastAsia="Calibri" w:hAnsi="Calibri"/>
            <w:color w:val="B85C3C"/>
            <w:sz w:val="17"/>
            <w:szCs w:val="17"/>
            <w:u w:val="single"/>
          </w:rPr>
          <w:t xml:space="preserve">Edward Larkstone  |  Let’s Get to It  |  letsgettoit.net</w:t>
        </w:r>
      </w:hyperlink>
    </w:p>
    <w:p>
      <w:pPr>
        <w:spacing w:after="0" w:before="4"/>
      </w:pPr>
      <w:r>
        <w:rPr>
          <w:rFonts w:ascii="Calibri" w:cs="Calibri" w:eastAsia="Calibri" w:hAnsi="Calibri"/>
          <w:i/>
          <w:iCs/>
          <w:color w:val="7A6B62"/>
          <w:sz w:val="15"/>
          <w:szCs w:val="15"/>
        </w:rPr>
        <w:t xml:space="preserve">© Let’s Get to It. Free educational resource, not a substitute for therapy or professional care. Healing childhood wounds is often best supported by a licensed professional. In crisis, call or text 988.</w:t>
      </w:r>
    </w:p>
    <w:sectPr>
      <w:pgSz w:w="12240" w:h="15840" w:orient="portrait"/>
      <w:pgMar w:top="720" w:right="900" w:bottom="6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6szvltpnekp8ouzxtyq8" Type="http://schemas.openxmlformats.org/officeDocument/2006/relationships/hyperlink" Target="https://letsgettoit.net" TargetMode="External"/><Relationship Id="rIdjrk9u1nunfffl3ayugzhs" Type="http://schemas.openxmlformats.org/officeDocument/2006/relationships/hyperlink" Target="https://letsgettoit.net"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2026-08-25T22:55:11.275Z</dcterms:created>
  <dcterms:modified xsi:type="dcterms:W3CDTF">2026-08-25T22:55:11.275Z</dcterms:modified>
</cp:coreProperties>
</file>

<file path=docProps/custom.xml><?xml version="1.0" encoding="utf-8"?>
<Properties xmlns="http://schemas.openxmlformats.org/officeDocument/2006/custom-properties" xmlns:vt="http://schemas.openxmlformats.org/officeDocument/2006/docPropsVTypes"/>
</file>