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80"/>
      </w:pPr>
      <w: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caps/>
          <w:color w:val="7A6B62"/>
          <w:sz w:val="17"/>
          <w:szCs w:val="17"/>
        </w:rPr>
        <w:t xml:space="preserve">A POCKET GUIDE FOR PARENTS OF TEENS</w:t>
      </w:r>
    </w:p>
    <w:p>
      <w:pPr>
        <w:spacing w:after="0" w:before="18"/>
      </w:pPr>
      <w:r>
        <w:rPr>
          <w:rFonts w:ascii="Georgia" w:cs="Georgia" w:eastAsia="Georgia" w:hAnsi="Georgia"/>
          <w:b/>
          <w:bCs/>
          <w:color w:val="B85C3C"/>
          <w:sz w:val="32"/>
          <w:szCs w:val="32"/>
        </w:rPr>
        <w:t xml:space="preserve">Talk So Your Teen Doesn’t Shut Down</w:t>
      </w:r>
    </w:p>
    <w:p>
      <w:pPr>
        <w:spacing w:after="110" w:before="16"/>
      </w:pPr>
      <w:r>
        <w:rPr>
          <w:rFonts w:ascii="Calibri" w:cs="Calibri" w:eastAsia="Calibri" w:hAnsi="Calibri"/>
          <w:i/>
          <w:iCs/>
          <w:color w:val="7A6B62"/>
          <w:sz w:val="20"/>
          <w:szCs w:val="20"/>
        </w:rPr>
        <w:t xml:space="preserve">The same conversation can open a teen up or slam them shut — it’s all in the approach. Five shifts that keep the door open.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1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2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Listen more than you talk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Resist the urge to lecture, fix, or judge. Often a teen just wants to feel heard — and feeling heard is what keeps them talking to you.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2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2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Ask open questions, not interrogations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“What was that like?” opens; a barrage of who/where/why closes. Curiosity beats cross-examination.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3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2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Don’t overreact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If you explode or panic at what they share, they learn to stop sharing. Staying calm keeps the door open for the big stuff later.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4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2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Validate before you problem-solve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“That sounds really hard” lands better than jumping to advice. Feeling understood has to come first.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5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2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Catch the small moments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Teens rarely talk on demand. They open up in the car, late at night, side-by-side doing something. Be available then.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40" w:before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2"/>
                <w:szCs w:val="22"/>
              </w:rPr>
              <w:t xml:space="preserve">Why it works</w:t>
            </w:r>
          </w:p>
          <w:p>
            <w:r>
              <w:rPr>
                <w:rFonts w:ascii="Calibri" w:cs="Calibri" w:eastAsia="Calibri" w:hAnsi="Calibri"/>
                <w:i/>
                <w:iCs/>
                <w:color w:val="F4DCD0"/>
                <w:sz w:val="20"/>
                <w:szCs w:val="20"/>
              </w:rPr>
              <w:t xml:space="preserve">A warm, connected parent-teen relationship is one of the strongest protections a teen has. And teens open up when they feel safe, not interrogated. Being the parent they WANT to talk to is what keeps them talking — including about the things that matter most.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spacing w:after="40" w:before="0"/>
        <w:jc w:val="center"/>
      </w:pPr>
      <w:r>
        <w:rPr>
          <w:rFonts w:ascii="Georgia" w:cs="Georgia" w:eastAsia="Georgia" w:hAnsi="Georgia"/>
          <w:b/>
          <w:bCs/>
          <w:color w:val="8C4530"/>
          <w:sz w:val="24"/>
          <w:szCs w:val="24"/>
        </w:rPr>
        <w:t xml:space="preserve">Want to go deeper?</w:t>
      </w:r>
    </w:p>
    <w:p>
      <w:pPr>
        <w:spacing w:after="60" w:before="0"/>
        <w:jc w:val="center"/>
      </w:pPr>
      <w:r>
        <w:rPr>
          <w:rFonts w:ascii="Calibri" w:cs="Calibri" w:eastAsia="Calibri" w:hAnsi="Calibri"/>
          <w:color w:val="3D332E"/>
          <w:sz w:val="21"/>
          <w:szCs w:val="21"/>
        </w:rPr>
        <w:t xml:space="preserve">This is a taste of the </w:t>
      </w:r>
      <w:r>
        <w:rPr>
          <w:rFonts w:ascii="Calibri" w:cs="Calibri" w:eastAsia="Calibri" w:hAnsi="Calibri"/>
          <w:b/>
          <w:bCs/>
          <w:color w:val="3D332E"/>
          <w:sz w:val="21"/>
          <w:szCs w:val="21"/>
        </w:rPr>
        <w:t xml:space="preserve">Teens &amp; Adolescents</w:t>
      </w:r>
      <w:r>
        <w:rPr>
          <w:rFonts w:ascii="Calibri" w:cs="Calibri" w:eastAsia="Calibri" w:hAnsi="Calibri"/>
          <w:color w:val="3D332E"/>
          <w:sz w:val="21"/>
          <w:szCs w:val="21"/>
        </w:rPr>
        <w:t xml:space="preserve"> series — guided worksheets on understanding the teen brain, the push for independence, staying connected, big feelings and real risks, and when to worry.</w:t>
      </w:r>
    </w:p>
    <w:p>
      <w:pPr>
        <w:spacing w:after="0" w:before="20"/>
        <w:jc w:val="center"/>
      </w:pPr>
      <w:hyperlink w:history="1" r:id="rIdt1ffergj75tcb6h1g8xtf">
        <w:r>
          <w:rPr>
            <w:rFonts w:ascii="Calibri" w:cs="Calibri" w:eastAsia="Calibri" w:hAnsi="Calibri"/>
            <w:b/>
            <w:bCs/>
            <w:color w:val="B85C3C"/>
            <w:sz w:val="23"/>
            <w:szCs w:val="23"/>
            <w:u w:val="single"/>
          </w:rPr>
          <w:t xml:space="preserve">Find the full series at letsgettoit.net</w:t>
        </w:r>
      </w:hyperlink>
    </w:p>
    <w:sectPr>
      <w:headerReference w:type="default" r:id="rId7"/>
      <w:footerReference w:type="default" r:id="rId8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D9CD" w:sz="6" w:space="6"/>
      </w:pBdr>
      <w:tabs>
        <w:tab w:val="right" w:pos="9360"/>
      </w:tabs>
    </w:pPr>
    <w:hyperlink w:history="1" r:id="rIdcswslcvetg0am_w45quji">
      <w:r>
        <w:rPr>
          <w:rFonts w:ascii="Calibri" w:cs="Calibri" w:eastAsia="Calibri" w:hAnsi="Calibri"/>
          <w:color w:val="B85C3C"/>
          <w:sz w:val="16"/>
          <w:szCs w:val="16"/>
          <w:u w:val="single"/>
        </w:rPr>
        <w:t xml:space="preserve">Edward Larkstone  |  Let’s Get to It  |  letsgettoit.net</w:t>
      </w:r>
    </w:hyperlink>
    <w:r>
      <w:rPr>
        <w:rFonts w:ascii="Calibri" w:cs="Calibri" w:eastAsia="Calibri" w:hAnsi="Calibri"/>
        <w:color w:val="7A6B62"/>
        <w:sz w:val="16"/>
        <w:szCs w:val="16"/>
      </w:rPr>
      <w:t xml:space="preserve">	Page </w:t>
    </w:r>
  </w:p>
  <w:p>
    <w:pPr>
      <w:spacing w:after="0" w:before="20"/>
    </w:pPr>
    <w:r>
      <w:rPr>
        <w:rFonts w:ascii="Calibri" w:cs="Calibri" w:eastAsia="Calibri" w:hAnsi="Calibri"/>
        <w:i/>
        <w:iCs/>
        <w:color w:val="7A6B62"/>
        <w:sz w:val="14"/>
        <w:szCs w:val="14"/>
      </w:rPr>
      <w:t xml:space="preserve">© Let’s Get to It. Educational use only. Not a substitute for therapy or professional clinical care.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5C3C" w:sz="6" w:space="6"/>
      </w:pBdr>
      <w:tabs>
        <w:tab w:val="right" w:pos="9360"/>
      </w:tabs>
    </w:pPr>
    <w:r>
      <w:rPr>
        <w:rFonts w:ascii="Georgia" w:cs="Georgia" w:eastAsia="Georgia" w:hAnsi="Georgia"/>
        <w:b/>
        <w:bCs/>
        <w:color w:val="B85C3C"/>
        <w:sz w:val="18"/>
        <w:szCs w:val="18"/>
      </w:rPr>
      <w:t xml:space="preserve">LET’S GET TO IT</w:t>
    </w:r>
    <w:r>
      <w:rPr>
        <w:rFonts w:ascii="Calibri" w:cs="Calibri" w:eastAsia="Calibri" w:hAnsi="Calibri"/>
        <w:color w:val="7A6B62"/>
        <w:sz w:val="18"/>
        <w:szCs w:val="18"/>
      </w:rPr>
      <w:t xml:space="preserve">	A free tool from the Teens &amp; Adolescents series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D33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t1ffergj75tcb6h1g8xtf" Type="http://schemas.openxmlformats.org/officeDocument/2006/relationships/hyperlink" Target="https://letsgettoit.net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wslcvetg0am_w45quji" Type="http://schemas.openxmlformats.org/officeDocument/2006/relationships/hyperlink" Target="https://letsgettoit.net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2026-09-07T23:35:04.699Z</dcterms:created>
  <dcterms:modified xsi:type="dcterms:W3CDTF">2026-09-07T23:35:04.700Z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