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00"/>
      </w:tblGrid>
      <w:tr>
        <w:tc>
          <w:tcPr>
            <w:tcW w:type="dxa" w:w="9800"/>
            <w:tcBorders>
              <w:top w:val="single" w:color="B85C3C" w:sz="4"/>
              <w:left w:val="single" w:color="B85C3C" w:sz="4"/>
              <w:bottom w:val="single" w:color="B85C3C" w:sz="4"/>
              <w:right w:val="single" w:color="B85C3C" w:sz="4"/>
            </w:tcBorders>
            <w:shd w:fill="B85C3C" w:val="clear"/>
            <w:tcMar>
              <w:top w:type="dxa" w:w="130"/>
              <w:left w:type="dxa" w:w="220"/>
              <w:bottom w:type="dxa" w:w="130"/>
              <w:right w:type="dxa" w:w="22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F4DCD0"/>
                <w:sz w:val="16"/>
                <w:szCs w:val="16"/>
              </w:rPr>
              <w:t xml:space="preserve">LET’S GET TO IT  —  FREE BOUNDARIES TOOL</w:t>
            </w:r>
          </w:p>
          <w:p>
            <w:pPr>
              <w:spacing w:after="0" w:before="12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7"/>
                <w:szCs w:val="37"/>
              </w:rPr>
              <w:t xml:space="preserve">Boundary Scripts</w:t>
            </w:r>
          </w:p>
          <w:p>
            <w:pPr>
              <w:spacing w:after="0" w:before="8"/>
            </w:pPr>
            <w:r>
              <w:rPr>
                <w:rFonts w:ascii="Calibri" w:cs="Calibri" w:eastAsia="Calibri" w:hAnsi="Calibri"/>
                <w:i/>
                <w:iCs/>
                <w:color w:val="F4DCD0"/>
                <w:sz w:val="19"/>
                <w:szCs w:val="19"/>
              </w:rPr>
              <w:t xml:space="preserve">The exact words to say when you need a boundary — kept ready, because in the moment your mind goes blank</w:t>
            </w:r>
          </w:p>
        </w:tc>
      </w:tr>
    </w:tbl>
    <w:p>
      <w:pPr>
        <w:spacing w:after="0" w:before="80"/>
      </w:pPr>
      <w:r>
        <w:t xml:space="preserve"/>
      </w:r>
    </w:p>
    <w:p>
      <w:r>
        <w:rPr>
          <w:rFonts w:ascii="Calibri" w:cs="Calibri" w:eastAsia="Calibri" w:hAnsi="Calibri"/>
          <w:color w:val="3D332E"/>
          <w:sz w:val="19"/>
          <w:szCs w:val="19"/>
        </w:rPr>
        <w:t xml:space="preserve">Good boundaries protect the relationship AND you. These lines name your own state and needs without attacking — and often reframe stepping back as respect. Make them yours, and keep them handy.</w:t>
      </w:r>
    </w:p>
    <w:p>
      <w:pPr>
        <w:spacing w:after="0" w:before="80"/>
      </w:pPr>
      <w:r>
        <w:t xml:space="preserve"/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00"/>
      </w:tblGrid>
      <w:tr>
        <w:tc>
          <w:tcPr>
            <w:tcW w:type="dxa" w:w="9800"/>
            <w:tcBorders>
              <w:top w:val="single" w:color="C8A55B" w:sz="4"/>
              <w:left w:val="single" w:color="C8A55B" w:sz="4"/>
              <w:bottom w:val="none" w:color="FFFFFF" w:sz="0"/>
              <w:right w:val="single" w:color="C8A55B" w:sz="4"/>
            </w:tcBorders>
            <w:shd w:fill="F4DCD0" w:val="clear"/>
            <w:tcMar>
              <w:top w:type="dxa" w:w="56"/>
              <w:left w:type="dxa" w:w="170"/>
              <w:bottom w:type="dxa" w:w="24"/>
              <w:right w:type="dxa" w:w="1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8C4530"/>
                <w:sz w:val="17"/>
                <w:szCs w:val="17"/>
              </w:rPr>
              <w:t xml:space="preserve">When someone is yelling or it’s heating up</w:t>
            </w:r>
          </w:p>
        </w:tc>
      </w:tr>
      <w:tr>
        <w:tc>
          <w:tcPr>
            <w:tcW w:type="dxa" w:w="9800"/>
            <w:tcBorders>
              <w:top w:val="none" w:color="FFFFFF" w:sz="0"/>
              <w:left w:val="single" w:color="C8A55B" w:sz="4"/>
              <w:bottom w:val="single" w:color="C8A55B" w:sz="4"/>
              <w:right w:val="single" w:color="C8A55B" w:sz="4"/>
            </w:tcBorders>
            <w:shd w:fill="FDF8F2" w:val="clear"/>
            <w:tcMar>
              <w:top w:type="dxa" w:w="0"/>
              <w:left w:type="dxa" w:w="170"/>
              <w:bottom w:type="dxa" w:w="60"/>
              <w:right w:type="dxa" w:w="17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3D332E"/>
                <w:sz w:val="21"/>
                <w:szCs w:val="21"/>
              </w:rPr>
              <w:t xml:space="preserve">“I want to give you my full attention, but I’m getting upset. I’m going to take a break and call you back so I can really hear you.”</w:t>
            </w:r>
          </w:p>
        </w:tc>
      </w:tr>
    </w:tbl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00"/>
      </w:tblGrid>
      <w:tr>
        <w:tc>
          <w:tcPr>
            <w:tcW w:type="dxa" w:w="9800"/>
            <w:tcBorders>
              <w:top w:val="single" w:color="C8A55B" w:sz="4"/>
              <w:left w:val="single" w:color="C8A55B" w:sz="4"/>
              <w:bottom w:val="none" w:color="FFFFFF" w:sz="0"/>
              <w:right w:val="single" w:color="C8A55B" w:sz="4"/>
            </w:tcBorders>
            <w:shd w:fill="F4DCD0" w:val="clear"/>
            <w:tcMar>
              <w:top w:type="dxa" w:w="56"/>
              <w:left w:type="dxa" w:w="170"/>
              <w:bottom w:type="dxa" w:w="24"/>
              <w:right w:type="dxa" w:w="1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8C4530"/>
                <w:sz w:val="17"/>
                <w:szCs w:val="17"/>
              </w:rPr>
              <w:t xml:space="preserve">When you’re being guilt-tripped</w:t>
            </w:r>
          </w:p>
        </w:tc>
      </w:tr>
      <w:tr>
        <w:tc>
          <w:tcPr>
            <w:tcW w:type="dxa" w:w="9800"/>
            <w:tcBorders>
              <w:top w:val="none" w:color="FFFFFF" w:sz="0"/>
              <w:left w:val="single" w:color="C8A55B" w:sz="4"/>
              <w:bottom w:val="single" w:color="C8A55B" w:sz="4"/>
              <w:right w:val="single" w:color="C8A55B" w:sz="4"/>
            </w:tcBorders>
            <w:shd w:fill="FDF8F2" w:val="clear"/>
            <w:tcMar>
              <w:top w:type="dxa" w:w="0"/>
              <w:left w:type="dxa" w:w="170"/>
              <w:bottom w:type="dxa" w:w="60"/>
              <w:right w:type="dxa" w:w="17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3D332E"/>
                <w:sz w:val="21"/>
                <w:szCs w:val="21"/>
              </w:rPr>
              <w:t xml:space="preserve">“I understand you’re disappointed, and I care about you. My answer is still no.”</w:t>
            </w:r>
          </w:p>
        </w:tc>
      </w:tr>
    </w:tbl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00"/>
      </w:tblGrid>
      <w:tr>
        <w:tc>
          <w:tcPr>
            <w:tcW w:type="dxa" w:w="9800"/>
            <w:tcBorders>
              <w:top w:val="single" w:color="C8A55B" w:sz="4"/>
              <w:left w:val="single" w:color="C8A55B" w:sz="4"/>
              <w:bottom w:val="none" w:color="FFFFFF" w:sz="0"/>
              <w:right w:val="single" w:color="C8A55B" w:sz="4"/>
            </w:tcBorders>
            <w:shd w:fill="F4DCD0" w:val="clear"/>
            <w:tcMar>
              <w:top w:type="dxa" w:w="56"/>
              <w:left w:type="dxa" w:w="170"/>
              <w:bottom w:type="dxa" w:w="24"/>
              <w:right w:type="dxa" w:w="1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8C4530"/>
                <w:sz w:val="17"/>
                <w:szCs w:val="17"/>
              </w:rPr>
              <w:t xml:space="preserve">When someone oversteps or gives unwanted advice</w:t>
            </w:r>
          </w:p>
        </w:tc>
      </w:tr>
      <w:tr>
        <w:tc>
          <w:tcPr>
            <w:tcW w:type="dxa" w:w="9800"/>
            <w:tcBorders>
              <w:top w:val="none" w:color="FFFFFF" w:sz="0"/>
              <w:left w:val="single" w:color="C8A55B" w:sz="4"/>
              <w:bottom w:val="single" w:color="C8A55B" w:sz="4"/>
              <w:right w:val="single" w:color="C8A55B" w:sz="4"/>
            </w:tcBorders>
            <w:shd w:fill="FDF8F2" w:val="clear"/>
            <w:tcMar>
              <w:top w:type="dxa" w:w="0"/>
              <w:left w:type="dxa" w:w="170"/>
              <w:bottom w:type="dxa" w:w="60"/>
              <w:right w:type="dxa" w:w="17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3D332E"/>
                <w:sz w:val="21"/>
                <w:szCs w:val="21"/>
              </w:rPr>
              <w:t xml:space="preserve">“I appreciate that you care. I’m not looking for advice right now — I just need to be heard.”</w:t>
            </w:r>
          </w:p>
        </w:tc>
      </w:tr>
    </w:tbl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00"/>
      </w:tblGrid>
      <w:tr>
        <w:tc>
          <w:tcPr>
            <w:tcW w:type="dxa" w:w="9800"/>
            <w:tcBorders>
              <w:top w:val="single" w:color="C8A55B" w:sz="4"/>
              <w:left w:val="single" w:color="C8A55B" w:sz="4"/>
              <w:bottom w:val="none" w:color="FFFFFF" w:sz="0"/>
              <w:right w:val="single" w:color="C8A55B" w:sz="4"/>
            </w:tcBorders>
            <w:shd w:fill="F4DCD0" w:val="clear"/>
            <w:tcMar>
              <w:top w:type="dxa" w:w="56"/>
              <w:left w:type="dxa" w:w="170"/>
              <w:bottom w:type="dxa" w:w="24"/>
              <w:right w:type="dxa" w:w="1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8C4530"/>
                <w:sz w:val="17"/>
                <w:szCs w:val="17"/>
              </w:rPr>
              <w:t xml:space="preserve">When you need to hold a “no”</w:t>
            </w:r>
          </w:p>
        </w:tc>
      </w:tr>
      <w:tr>
        <w:tc>
          <w:tcPr>
            <w:tcW w:type="dxa" w:w="9800"/>
            <w:tcBorders>
              <w:top w:val="none" w:color="FFFFFF" w:sz="0"/>
              <w:left w:val="single" w:color="C8A55B" w:sz="4"/>
              <w:bottom w:val="single" w:color="C8A55B" w:sz="4"/>
              <w:right w:val="single" w:color="C8A55B" w:sz="4"/>
            </w:tcBorders>
            <w:shd w:fill="FDF8F2" w:val="clear"/>
            <w:tcMar>
              <w:top w:type="dxa" w:w="0"/>
              <w:left w:type="dxa" w:w="170"/>
              <w:bottom w:type="dxa" w:w="60"/>
              <w:right w:type="dxa" w:w="17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3D332E"/>
                <w:sz w:val="21"/>
                <w:szCs w:val="21"/>
              </w:rPr>
              <w:t xml:space="preserve">“I’ve thought about it, and it’s a no. I’m not able to take that on.”</w:t>
            </w:r>
          </w:p>
        </w:tc>
      </w:tr>
    </w:tbl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00"/>
      </w:tblGrid>
      <w:tr>
        <w:tc>
          <w:tcPr>
            <w:tcW w:type="dxa" w:w="9800"/>
            <w:tcBorders>
              <w:top w:val="single" w:color="C8A55B" w:sz="4"/>
              <w:left w:val="single" w:color="C8A55B" w:sz="4"/>
              <w:bottom w:val="none" w:color="FFFFFF" w:sz="0"/>
              <w:right w:val="single" w:color="C8A55B" w:sz="4"/>
            </w:tcBorders>
            <w:shd w:fill="F4DCD0" w:val="clear"/>
            <w:tcMar>
              <w:top w:type="dxa" w:w="56"/>
              <w:left w:type="dxa" w:w="170"/>
              <w:bottom w:type="dxa" w:w="24"/>
              <w:right w:type="dxa" w:w="1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8C4530"/>
                <w:sz w:val="17"/>
                <w:szCs w:val="17"/>
              </w:rPr>
              <w:t xml:space="preserve">When someone raises a topic you won’t discuss</w:t>
            </w:r>
          </w:p>
        </w:tc>
      </w:tr>
      <w:tr>
        <w:tc>
          <w:tcPr>
            <w:tcW w:type="dxa" w:w="9800"/>
            <w:tcBorders>
              <w:top w:val="none" w:color="FFFFFF" w:sz="0"/>
              <w:left w:val="single" w:color="C8A55B" w:sz="4"/>
              <w:bottom w:val="single" w:color="C8A55B" w:sz="4"/>
              <w:right w:val="single" w:color="C8A55B" w:sz="4"/>
            </w:tcBorders>
            <w:shd w:fill="FDF8F2" w:val="clear"/>
            <w:tcMar>
              <w:top w:type="dxa" w:w="0"/>
              <w:left w:type="dxa" w:w="170"/>
              <w:bottom w:type="dxa" w:w="60"/>
              <w:right w:type="dxa" w:w="17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3D332E"/>
                <w:sz w:val="21"/>
                <w:szCs w:val="21"/>
              </w:rPr>
              <w:t xml:space="preserve">“That’s not something I’m willing to get into. Let’s talk about something else.”</w:t>
            </w:r>
          </w:p>
        </w:tc>
      </w:tr>
    </w:tbl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00"/>
      </w:tblGrid>
      <w:tr>
        <w:tc>
          <w:tcPr>
            <w:tcW w:type="dxa" w:w="9800"/>
            <w:tcBorders>
              <w:top w:val="single" w:color="C8A55B" w:sz="4"/>
              <w:left w:val="single" w:color="C8A55B" w:sz="4"/>
              <w:bottom w:val="none" w:color="FFFFFF" w:sz="0"/>
              <w:right w:val="single" w:color="C8A55B" w:sz="4"/>
            </w:tcBorders>
            <w:shd w:fill="F4DCD0" w:val="clear"/>
            <w:tcMar>
              <w:top w:type="dxa" w:w="56"/>
              <w:left w:type="dxa" w:w="170"/>
              <w:bottom w:type="dxa" w:w="24"/>
              <w:right w:type="dxa" w:w="1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8C4530"/>
                <w:sz w:val="17"/>
                <w:szCs w:val="17"/>
              </w:rPr>
              <w:t xml:space="preserve">When you need space or time</w:t>
            </w:r>
          </w:p>
        </w:tc>
      </w:tr>
      <w:tr>
        <w:tc>
          <w:tcPr>
            <w:tcW w:type="dxa" w:w="9800"/>
            <w:tcBorders>
              <w:top w:val="none" w:color="FFFFFF" w:sz="0"/>
              <w:left w:val="single" w:color="C8A55B" w:sz="4"/>
              <w:bottom w:val="single" w:color="C8A55B" w:sz="4"/>
              <w:right w:val="single" w:color="C8A55B" w:sz="4"/>
            </w:tcBorders>
            <w:shd w:fill="FDF8F2" w:val="clear"/>
            <w:tcMar>
              <w:top w:type="dxa" w:w="0"/>
              <w:left w:type="dxa" w:w="170"/>
              <w:bottom w:type="dxa" w:w="60"/>
              <w:right w:type="dxa" w:w="17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3D332E"/>
                <w:sz w:val="21"/>
                <w:szCs w:val="21"/>
              </w:rPr>
              <w:t xml:space="preserve">“I need some time to think before I respond. I’ll come back to you by ______.”</w:t>
            </w:r>
          </w:p>
        </w:tc>
      </w:tr>
    </w:tbl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00"/>
      </w:tblGrid>
      <w:tr>
        <w:tc>
          <w:tcPr>
            <w:tcW w:type="dxa" w:w="9800"/>
            <w:tcBorders>
              <w:top w:val="single" w:color="C8A55B" w:sz="4"/>
              <w:left w:val="single" w:color="C8A55B" w:sz="4"/>
              <w:bottom w:val="none" w:color="FFFFFF" w:sz="0"/>
              <w:right w:val="single" w:color="C8A55B" w:sz="4"/>
            </w:tcBorders>
            <w:shd w:fill="F4DCD0" w:val="clear"/>
            <w:tcMar>
              <w:top w:type="dxa" w:w="56"/>
              <w:left w:type="dxa" w:w="170"/>
              <w:bottom w:type="dxa" w:w="24"/>
              <w:right w:type="dxa" w:w="1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8C4530"/>
                <w:sz w:val="17"/>
                <w:szCs w:val="17"/>
              </w:rPr>
              <w:t xml:space="preserve">When you’re being pressured to decide now</w:t>
            </w:r>
          </w:p>
        </w:tc>
      </w:tr>
      <w:tr>
        <w:tc>
          <w:tcPr>
            <w:tcW w:type="dxa" w:w="9800"/>
            <w:tcBorders>
              <w:top w:val="none" w:color="FFFFFF" w:sz="0"/>
              <w:left w:val="single" w:color="C8A55B" w:sz="4"/>
              <w:bottom w:val="single" w:color="C8A55B" w:sz="4"/>
              <w:right w:val="single" w:color="C8A55B" w:sz="4"/>
            </w:tcBorders>
            <w:shd w:fill="FDF8F2" w:val="clear"/>
            <w:tcMar>
              <w:top w:type="dxa" w:w="0"/>
              <w:left w:type="dxa" w:w="170"/>
              <w:bottom w:type="dxa" w:w="60"/>
              <w:right w:type="dxa" w:w="17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3D332E"/>
                <w:sz w:val="21"/>
                <w:szCs w:val="21"/>
              </w:rPr>
              <w:t xml:space="preserve">“I don’t make decisions on the spot. If I have to answer right now, the answer is no.”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00"/>
      </w:tblGrid>
      <w:tr>
        <w:tc>
          <w:tcPr>
            <w:tcW w:type="dxa" w:w="9800"/>
            <w:tcBorders>
              <w:top w:val="single" w:color="C8A55B" w:sz="4"/>
              <w:left w:val="single" w:color="C8A55B" w:sz="4"/>
              <w:bottom w:val="single" w:color="C8A55B" w:sz="4"/>
              <w:right w:val="single" w:color="C8A55B" w:sz="4"/>
            </w:tcBorders>
            <w:shd w:fill="F4DCD0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8C4530"/>
                <w:sz w:val="19"/>
                <w:szCs w:val="19"/>
              </w:rPr>
              <w:t xml:space="preserve">The formula behind them: </w:t>
            </w:r>
            <w:r>
              <w:rPr>
                <w:rFonts w:ascii="Calibri" w:cs="Calibri" w:eastAsia="Calibri" w:hAnsi="Calibri"/>
                <w:color w:val="3D332E"/>
                <w:sz w:val="19"/>
                <w:szCs w:val="19"/>
              </w:rPr>
              <w:t xml:space="preserve">name your state or limit calmly (“I’m getting upset” / “my answer is no”), skip the attack and the over-explaining, and — where you can — frame the boundary as care. You don’t owe a long justification for a fair limit.</w:t>
            </w:r>
          </w:p>
        </w:tc>
      </w:tr>
    </w:tbl>
    <w:p>
      <w:pPr>
        <w:spacing w:after="0" w:before="100"/>
      </w:pPr>
      <w:r>
        <w:t xml:space="preserve"/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00"/>
      </w:tblGrid>
      <w:tr>
        <w:tc>
          <w:tcPr>
            <w:tcW w:type="dxa" w:w="9800"/>
            <w:tcBorders>
              <w:top w:val="single" w:color="8C4530" w:sz="4"/>
              <w:left w:val="single" w:color="8C4530" w:sz="4"/>
              <w:bottom w:val="single" w:color="8C4530" w:sz="4"/>
              <w:right w:val="single" w:color="8C4530" w:sz="4"/>
            </w:tcBorders>
            <w:shd w:fill="8C4530" w:val="clear"/>
            <w:tcMar>
              <w:top w:type="dxa" w:w="130"/>
              <w:left w:type="dxa" w:w="220"/>
              <w:bottom w:type="dxa" w:w="130"/>
              <w:right w:type="dxa" w:w="22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22"/>
                <w:szCs w:val="22"/>
              </w:rPr>
              <w:t xml:space="preserve">Want boundaries that actually hold?</w:t>
            </w:r>
          </w:p>
          <w:p>
            <w:pPr>
              <w:spacing w:after="0" w:before="10"/>
            </w:pPr>
            <w:r>
              <w:rPr>
                <w:rFonts w:ascii="Calibri" w:cs="Calibri" w:eastAsia="Calibri" w:hAnsi="Calibri"/>
                <w:color w:val="F4DCD0"/>
                <w:sz w:val="19"/>
                <w:szCs w:val="19"/>
              </w:rPr>
              <w:t xml:space="preserve">This card gives you the words. The full Boundaries series helps you handle the guilt that follows, set limits with family, protect your time and energy, and follow through when a boundary gets tested.</w:t>
            </w:r>
          </w:p>
          <w:p>
            <w:pPr>
              <w:spacing w:after="0" w:before="12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Find the complete series at  </w:t>
            </w:r>
            <w:hyperlink w:history="1" r:id="rIdhuurwkxaujrxqryjtuyxl">
              <w:r>
                <w:rPr>
                  <w:rFonts w:ascii="Calibri" w:cs="Calibri" w:eastAsia="Calibri" w:hAnsi="Calibri"/>
                  <w:b/>
                  <w:bCs/>
                  <w:color w:val="C8A55B"/>
                  <w:sz w:val="19"/>
                  <w:szCs w:val="19"/>
                  <w:u w:val="single"/>
                </w:rPr>
                <w:t xml:space="preserve">letsgettoit.net</w:t>
              </w:r>
            </w:hyperlink>
          </w:p>
        </w:tc>
      </w:tr>
    </w:tbl>
    <w:p>
      <w:pPr>
        <w:spacing w:after="0" w:before="80"/>
      </w:pPr>
      <w:r>
        <w:t xml:space="preserve"/>
      </w:r>
    </w:p>
    <w:p>
      <w:hyperlink w:history="1" r:id="rIdzwmsnqle02seg4lwwkcy4">
        <w:r>
          <w:rPr>
            <w:rFonts w:ascii="Calibri" w:cs="Calibri" w:eastAsia="Calibri" w:hAnsi="Calibri"/>
            <w:color w:val="B85C3C"/>
            <w:sz w:val="16"/>
            <w:szCs w:val="16"/>
            <w:u w:val="single"/>
          </w:rPr>
          <w:t xml:space="preserve">Edward Larkstone  |  Let’s Get to It  |  letsgettoit.net</w:t>
        </w:r>
      </w:hyperlink>
    </w:p>
    <w:p>
      <w:pPr>
        <w:spacing w:after="0" w:before="4"/>
      </w:pPr>
      <w:r>
        <w:rPr>
          <w:rFonts w:ascii="Calibri" w:cs="Calibri" w:eastAsia="Calibri" w:hAnsi="Calibri"/>
          <w:i/>
          <w:iCs/>
          <w:color w:val="7A6B62"/>
          <w:sz w:val="14"/>
          <w:szCs w:val="14"/>
        </w:rPr>
        <w:t xml:space="preserve">© Let’s Get to It. Free educational resource, not a substitute for professional care. If a relationship ever feels unsafe: National Domestic Violence Hotline 1-800-799-7233. In crisis, call or text 988.</w:t>
      </w:r>
    </w:p>
    <w:sectPr>
      <w:pgSz w:w="12240" w:h="15840" w:orient="portrait"/>
      <w:pgMar w:top="660" w:right="860" w:bottom="560" w:left="8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D332E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urwkxaujrxqryjtuyxl" Type="http://schemas.openxmlformats.org/officeDocument/2006/relationships/hyperlink" Target="https://letsgettoit.net" TargetMode="External"/><Relationship Id="rIdzwmsnqle02seg4lwwkcy4" Type="http://schemas.openxmlformats.org/officeDocument/2006/relationships/hyperlink" Target="https://letsgettoit.net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2026-08-25T22:55:57.578Z</dcterms:created>
  <dcterms:modified xsi:type="dcterms:W3CDTF">2026-08-25T22:55:57.578Z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